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AAB" w:rsidRDefault="00A53AAB">
      <w:pPr>
        <w:spacing w:line="276" w:lineRule="auto"/>
        <w:jc w:val="center"/>
        <w:rPr>
          <w:rFonts w:ascii="Arial" w:eastAsia="Arial" w:hAnsi="Arial" w:cs="Arial"/>
          <w:b/>
          <w:sz w:val="22"/>
          <w:szCs w:val="22"/>
        </w:rPr>
      </w:pPr>
      <w:r>
        <w:rPr>
          <w:noProof/>
          <w:lang w:val="es-419" w:eastAsia="es-419"/>
        </w:rPr>
        <w:drawing>
          <wp:anchor distT="0" distB="0" distL="114300" distR="114300" simplePos="0" relativeHeight="251658240" behindDoc="1" locked="0" layoutInCell="1" allowOverlap="1">
            <wp:simplePos x="0" y="0"/>
            <wp:positionH relativeFrom="column">
              <wp:posOffset>3558539</wp:posOffset>
            </wp:positionH>
            <wp:positionV relativeFrom="paragraph">
              <wp:posOffset>2541</wp:posOffset>
            </wp:positionV>
            <wp:extent cx="2466975" cy="6326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537127" cy="650671"/>
                    </a:xfrm>
                    <a:prstGeom prst="rect">
                      <a:avLst/>
                    </a:prstGeom>
                  </pic:spPr>
                </pic:pic>
              </a:graphicData>
            </a:graphic>
            <wp14:sizeRelH relativeFrom="margin">
              <wp14:pctWidth>0</wp14:pctWidth>
            </wp14:sizeRelH>
            <wp14:sizeRelV relativeFrom="margin">
              <wp14:pctHeight>0</wp14:pctHeight>
            </wp14:sizeRelV>
          </wp:anchor>
        </w:drawing>
      </w:r>
    </w:p>
    <w:p w:rsidR="00A53AAB" w:rsidRDefault="00A53AAB">
      <w:pPr>
        <w:spacing w:line="276" w:lineRule="auto"/>
        <w:jc w:val="center"/>
        <w:rPr>
          <w:rFonts w:ascii="Arial" w:eastAsia="Arial" w:hAnsi="Arial" w:cs="Arial"/>
          <w:b/>
          <w:sz w:val="22"/>
          <w:szCs w:val="22"/>
        </w:rPr>
      </w:pPr>
    </w:p>
    <w:p w:rsidR="0098634D" w:rsidRDefault="00DF5BC3">
      <w:pPr>
        <w:spacing w:line="276" w:lineRule="auto"/>
        <w:jc w:val="center"/>
        <w:rPr>
          <w:rFonts w:ascii="Arial" w:eastAsia="Arial" w:hAnsi="Arial" w:cs="Arial"/>
          <w:sz w:val="22"/>
          <w:szCs w:val="22"/>
        </w:rPr>
      </w:pPr>
      <w:bookmarkStart w:id="0" w:name="_GoBack"/>
      <w:bookmarkEnd w:id="0"/>
      <w:r>
        <w:rPr>
          <w:rFonts w:ascii="Arial" w:eastAsia="Arial" w:hAnsi="Arial" w:cs="Arial"/>
          <w:b/>
          <w:sz w:val="22"/>
          <w:szCs w:val="22"/>
        </w:rPr>
        <w:t>MEMORANDO</w:t>
      </w:r>
      <w:r>
        <w:rPr>
          <w:rFonts w:ascii="Arial" w:eastAsia="Arial" w:hAnsi="Arial" w:cs="Arial"/>
          <w:sz w:val="22"/>
          <w:szCs w:val="22"/>
        </w:rPr>
        <w:t xml:space="preserve"> </w:t>
      </w:r>
    </w:p>
    <w:p w:rsidR="0098634D" w:rsidRDefault="0098634D">
      <w:pPr>
        <w:spacing w:line="276" w:lineRule="auto"/>
        <w:jc w:val="center"/>
        <w:rPr>
          <w:rFonts w:ascii="Arial" w:eastAsia="Arial" w:hAnsi="Arial" w:cs="Arial"/>
          <w:b/>
          <w:sz w:val="22"/>
          <w:szCs w:val="22"/>
        </w:rPr>
      </w:pPr>
    </w:p>
    <w:p w:rsidR="0098634D" w:rsidRDefault="00DF5BC3">
      <w:pPr>
        <w:spacing w:line="276" w:lineRule="auto"/>
        <w:jc w:val="center"/>
        <w:rPr>
          <w:rFonts w:ascii="Arial" w:eastAsia="Arial" w:hAnsi="Arial" w:cs="Arial"/>
          <w:sz w:val="22"/>
          <w:szCs w:val="22"/>
        </w:rPr>
      </w:pPr>
      <w:r>
        <w:rPr>
          <w:rFonts w:ascii="Arial" w:eastAsia="Arial" w:hAnsi="Arial" w:cs="Arial"/>
          <w:sz w:val="22"/>
          <w:szCs w:val="22"/>
        </w:rPr>
        <w:t xml:space="preserve"> </w:t>
      </w:r>
    </w:p>
    <w:p w:rsidR="0098634D" w:rsidRDefault="00DF5BC3">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PARA</w:t>
      </w:r>
      <w:r>
        <w:rPr>
          <w:rFonts w:ascii="Arial" w:eastAsia="Arial" w:hAnsi="Arial" w:cs="Arial"/>
          <w:color w:val="000000"/>
          <w:sz w:val="22"/>
          <w:szCs w:val="22"/>
        </w:rPr>
        <w:t xml:space="preserve">:          </w:t>
      </w:r>
      <w:r>
        <w:rPr>
          <w:rFonts w:ascii="Arial" w:eastAsia="Arial" w:hAnsi="Arial" w:cs="Arial"/>
          <w:color w:val="000000"/>
          <w:sz w:val="22"/>
          <w:szCs w:val="22"/>
        </w:rPr>
        <w:tab/>
      </w:r>
      <w:r>
        <w:rPr>
          <w:rFonts w:ascii="Arial" w:eastAsia="Arial" w:hAnsi="Arial" w:cs="Arial"/>
          <w:b/>
          <w:color w:val="000000"/>
          <w:sz w:val="22"/>
          <w:szCs w:val="22"/>
        </w:rPr>
        <w:t>ANDRES GIOVANNI BARRIOS BERNAL</w:t>
      </w:r>
    </w:p>
    <w:p w:rsidR="0098634D" w:rsidRDefault="00DF5BC3">
      <w:pPr>
        <w:ind w:left="709" w:firstLine="709"/>
        <w:jc w:val="both"/>
        <w:rPr>
          <w:rFonts w:ascii="Arial" w:eastAsia="Arial" w:hAnsi="Arial" w:cs="Arial"/>
          <w:sz w:val="22"/>
          <w:szCs w:val="22"/>
        </w:rPr>
      </w:pPr>
      <w:r>
        <w:rPr>
          <w:rFonts w:ascii="Arial" w:eastAsia="Arial" w:hAnsi="Arial" w:cs="Arial"/>
          <w:color w:val="000000"/>
          <w:sz w:val="22"/>
          <w:szCs w:val="22"/>
        </w:rPr>
        <w:t>Presidente Comisión Segunda Permanente de Gobierno.</w:t>
      </w:r>
    </w:p>
    <w:p w:rsidR="0098634D" w:rsidRDefault="0098634D">
      <w:pPr>
        <w:ind w:left="709" w:firstLine="709"/>
        <w:jc w:val="both"/>
        <w:rPr>
          <w:rFonts w:ascii="Arial" w:eastAsia="Arial" w:hAnsi="Arial" w:cs="Arial"/>
          <w:sz w:val="22"/>
          <w:szCs w:val="22"/>
        </w:rPr>
      </w:pPr>
    </w:p>
    <w:p w:rsidR="0098634D" w:rsidRDefault="00DF5BC3">
      <w:pPr>
        <w:spacing w:line="276" w:lineRule="auto"/>
        <w:rPr>
          <w:rFonts w:ascii="Arial" w:eastAsia="Arial" w:hAnsi="Arial" w:cs="Arial"/>
          <w:sz w:val="22"/>
          <w:szCs w:val="22"/>
        </w:rPr>
      </w:pPr>
      <w:r>
        <w:rPr>
          <w:rFonts w:ascii="Arial" w:eastAsia="Arial" w:hAnsi="Arial" w:cs="Arial"/>
          <w:b/>
          <w:sz w:val="22"/>
          <w:szCs w:val="22"/>
        </w:rPr>
        <w:t>DE</w:t>
      </w:r>
      <w:r>
        <w:rPr>
          <w:rFonts w:ascii="Arial" w:eastAsia="Arial" w:hAnsi="Arial" w:cs="Arial"/>
          <w:sz w:val="22"/>
          <w:szCs w:val="22"/>
        </w:rPr>
        <w:t xml:space="preserve">:               </w:t>
      </w:r>
      <w:r>
        <w:rPr>
          <w:rFonts w:ascii="Arial" w:eastAsia="Arial" w:hAnsi="Arial" w:cs="Arial"/>
          <w:sz w:val="22"/>
          <w:szCs w:val="22"/>
        </w:rPr>
        <w:tab/>
        <w:t xml:space="preserve">H.C. RUBÉN DARÍO TORRADO PACHECO </w:t>
      </w:r>
    </w:p>
    <w:p w:rsidR="0098634D" w:rsidRDefault="00DF5BC3">
      <w:pPr>
        <w:spacing w:line="276" w:lineRule="auto"/>
        <w:jc w:val="center"/>
        <w:rPr>
          <w:rFonts w:ascii="Arial" w:eastAsia="Arial" w:hAnsi="Arial" w:cs="Arial"/>
          <w:sz w:val="22"/>
          <w:szCs w:val="22"/>
        </w:rPr>
      </w:pPr>
      <w:r>
        <w:rPr>
          <w:rFonts w:ascii="Arial" w:eastAsia="Arial" w:hAnsi="Arial" w:cs="Arial"/>
          <w:sz w:val="22"/>
          <w:szCs w:val="22"/>
        </w:rPr>
        <w:t xml:space="preserve"> </w:t>
      </w:r>
    </w:p>
    <w:p w:rsidR="0098634D" w:rsidRDefault="00DF5BC3">
      <w:pPr>
        <w:spacing w:line="276" w:lineRule="auto"/>
        <w:jc w:val="both"/>
        <w:rPr>
          <w:rFonts w:ascii="Arial" w:eastAsia="Arial" w:hAnsi="Arial" w:cs="Arial"/>
          <w:sz w:val="22"/>
          <w:szCs w:val="22"/>
        </w:rPr>
      </w:pPr>
      <w:r>
        <w:rPr>
          <w:rFonts w:ascii="Arial" w:eastAsia="Arial" w:hAnsi="Arial" w:cs="Arial"/>
          <w:b/>
          <w:sz w:val="22"/>
          <w:szCs w:val="22"/>
        </w:rPr>
        <w:t>ASUNTO:</w:t>
      </w:r>
      <w:r>
        <w:rPr>
          <w:rFonts w:ascii="Arial" w:eastAsia="Arial" w:hAnsi="Arial" w:cs="Arial"/>
          <w:sz w:val="22"/>
          <w:szCs w:val="22"/>
        </w:rPr>
        <w:t xml:space="preserve">  </w:t>
      </w:r>
      <w:r>
        <w:rPr>
          <w:rFonts w:ascii="Arial" w:eastAsia="Arial" w:hAnsi="Arial" w:cs="Arial"/>
          <w:sz w:val="22"/>
          <w:szCs w:val="22"/>
        </w:rPr>
        <w:tab/>
        <w:t>Radicación de ponencia al Proyecto de Acuerdo No. 315 de 2025.</w:t>
      </w:r>
    </w:p>
    <w:p w:rsidR="0098634D" w:rsidRDefault="0098634D">
      <w:pPr>
        <w:spacing w:line="276" w:lineRule="auto"/>
        <w:jc w:val="both"/>
        <w:rPr>
          <w:rFonts w:ascii="Arial" w:eastAsia="Arial" w:hAnsi="Arial" w:cs="Arial"/>
          <w:sz w:val="22"/>
          <w:szCs w:val="22"/>
        </w:rPr>
      </w:pPr>
    </w:p>
    <w:p w:rsidR="0098634D" w:rsidRDefault="00DF5BC3">
      <w:pPr>
        <w:spacing w:line="276" w:lineRule="auto"/>
        <w:ind w:left="2840" w:hanging="1420"/>
        <w:jc w:val="center"/>
        <w:rPr>
          <w:rFonts w:ascii="Arial" w:eastAsia="Arial" w:hAnsi="Arial" w:cs="Arial"/>
          <w:sz w:val="22"/>
          <w:szCs w:val="22"/>
        </w:rPr>
      </w:pPr>
      <w:r>
        <w:rPr>
          <w:rFonts w:ascii="Arial" w:eastAsia="Arial" w:hAnsi="Arial" w:cs="Arial"/>
          <w:sz w:val="22"/>
          <w:szCs w:val="22"/>
        </w:rPr>
        <w:t xml:space="preserve"> </w:t>
      </w: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 xml:space="preserve">Apreciado Doctor </w:t>
      </w:r>
    </w:p>
    <w:p w:rsidR="0098634D" w:rsidRDefault="0098634D">
      <w:pPr>
        <w:spacing w:line="276" w:lineRule="auto"/>
        <w:jc w:val="both"/>
        <w:rPr>
          <w:rFonts w:ascii="Arial" w:eastAsia="Arial" w:hAnsi="Arial" w:cs="Arial"/>
          <w:sz w:val="22"/>
          <w:szCs w:val="22"/>
        </w:rPr>
      </w:pP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 xml:space="preserve"> </w:t>
      </w: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Reciba un cordial saludo.</w:t>
      </w:r>
    </w:p>
    <w:p w:rsidR="0098634D" w:rsidRDefault="0098634D">
      <w:pPr>
        <w:spacing w:line="276" w:lineRule="auto"/>
        <w:jc w:val="both"/>
        <w:rPr>
          <w:rFonts w:ascii="Arial" w:eastAsia="Arial" w:hAnsi="Arial" w:cs="Arial"/>
          <w:sz w:val="22"/>
          <w:szCs w:val="22"/>
        </w:rPr>
      </w:pPr>
    </w:p>
    <w:p w:rsidR="0098634D" w:rsidRDefault="00DF5BC3">
      <w:pPr>
        <w:spacing w:line="276" w:lineRule="auto"/>
        <w:jc w:val="both"/>
        <w:rPr>
          <w:rFonts w:ascii="Arial" w:eastAsia="Arial" w:hAnsi="Arial" w:cs="Arial"/>
          <w:i/>
          <w:sz w:val="22"/>
          <w:szCs w:val="22"/>
        </w:rPr>
      </w:pPr>
      <w:r>
        <w:rPr>
          <w:rFonts w:ascii="Arial" w:eastAsia="Arial" w:hAnsi="Arial" w:cs="Arial"/>
          <w:sz w:val="22"/>
          <w:szCs w:val="22"/>
        </w:rPr>
        <w:t xml:space="preserve">De conformidad con lo señalado en el Artículo 71 del Acuerdo 741 de 2019, de manera atenta, me permito radicar en medio magnético ante su despacho Ponencia Positiva con modificaciones al Proyecto de Acuerdo N° 315 de 2025, </w:t>
      </w:r>
      <w:r>
        <w:rPr>
          <w:rFonts w:ascii="Arial" w:eastAsia="Arial" w:hAnsi="Arial" w:cs="Arial"/>
          <w:i/>
          <w:sz w:val="22"/>
          <w:szCs w:val="22"/>
        </w:rPr>
        <w:t xml:space="preserve">“Por medio del cual se exalta la memoria de Jessica Liliana Ramírez Gaviria WEPD, se establecen los lineamientos de la estrategia de atención integral para las personas con enfermedades huérfanas en el Distrito Capital y se dictan otras disposiciones”. </w:t>
      </w:r>
    </w:p>
    <w:p w:rsidR="0098634D" w:rsidRDefault="0098634D">
      <w:pPr>
        <w:spacing w:line="276" w:lineRule="auto"/>
        <w:jc w:val="both"/>
        <w:rPr>
          <w:rFonts w:ascii="Arial" w:eastAsia="Arial" w:hAnsi="Arial" w:cs="Arial"/>
          <w:sz w:val="22"/>
          <w:szCs w:val="22"/>
        </w:rPr>
      </w:pPr>
    </w:p>
    <w:p w:rsidR="0098634D" w:rsidRDefault="0098634D">
      <w:pPr>
        <w:spacing w:line="276" w:lineRule="auto"/>
        <w:jc w:val="both"/>
        <w:rPr>
          <w:rFonts w:ascii="Arial" w:eastAsia="Arial" w:hAnsi="Arial" w:cs="Arial"/>
          <w:sz w:val="22"/>
          <w:szCs w:val="22"/>
        </w:rPr>
      </w:pP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Agradezco su amable gestión.</w:t>
      </w:r>
    </w:p>
    <w:p w:rsidR="0098634D" w:rsidRDefault="0098634D">
      <w:pPr>
        <w:spacing w:line="276" w:lineRule="auto"/>
        <w:jc w:val="both"/>
        <w:rPr>
          <w:rFonts w:ascii="Arial" w:eastAsia="Arial" w:hAnsi="Arial" w:cs="Arial"/>
          <w:sz w:val="22"/>
          <w:szCs w:val="22"/>
        </w:rPr>
      </w:pPr>
    </w:p>
    <w:p w:rsidR="0098634D" w:rsidRDefault="0098634D">
      <w:pPr>
        <w:spacing w:line="276" w:lineRule="auto"/>
        <w:jc w:val="both"/>
        <w:rPr>
          <w:rFonts w:ascii="Arial" w:eastAsia="Arial" w:hAnsi="Arial" w:cs="Arial"/>
          <w:sz w:val="22"/>
          <w:szCs w:val="22"/>
        </w:rPr>
      </w:pP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Cordialmente,</w:t>
      </w:r>
    </w:p>
    <w:p w:rsidR="0098634D" w:rsidRDefault="0098634D">
      <w:pPr>
        <w:spacing w:line="276" w:lineRule="auto"/>
        <w:jc w:val="both"/>
        <w:rPr>
          <w:rFonts w:ascii="Arial" w:eastAsia="Arial" w:hAnsi="Arial" w:cs="Arial"/>
          <w:sz w:val="22"/>
          <w:szCs w:val="22"/>
        </w:rPr>
      </w:pPr>
    </w:p>
    <w:p w:rsidR="0098634D" w:rsidRDefault="0098634D">
      <w:pPr>
        <w:jc w:val="both"/>
        <w:rPr>
          <w:rFonts w:ascii="Arial" w:eastAsia="Arial" w:hAnsi="Arial" w:cs="Arial"/>
          <w:b/>
          <w:sz w:val="22"/>
          <w:szCs w:val="22"/>
        </w:rPr>
      </w:pPr>
    </w:p>
    <w:p w:rsidR="0098634D" w:rsidRDefault="00DF5BC3">
      <w:pPr>
        <w:spacing w:line="276" w:lineRule="auto"/>
        <w:jc w:val="both"/>
        <w:rPr>
          <w:rFonts w:ascii="Arial" w:eastAsia="Arial" w:hAnsi="Arial" w:cs="Arial"/>
          <w:b/>
          <w:sz w:val="22"/>
          <w:szCs w:val="22"/>
        </w:rPr>
      </w:pPr>
      <w:r>
        <w:rPr>
          <w:rFonts w:ascii="Arial" w:eastAsia="Arial" w:hAnsi="Arial" w:cs="Arial"/>
          <w:b/>
          <w:sz w:val="22"/>
          <w:szCs w:val="22"/>
        </w:rPr>
        <w:t xml:space="preserve">RUBÉN DARÍO TORRADO PACHECO  </w:t>
      </w: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 xml:space="preserve">Concejal de Bogotá D.C. </w:t>
      </w: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Partido de la U.</w:t>
      </w: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Ponente.</w:t>
      </w:r>
    </w:p>
    <w:p w:rsidR="0098634D" w:rsidRDefault="0098634D">
      <w:pPr>
        <w:spacing w:line="276" w:lineRule="auto"/>
        <w:jc w:val="both"/>
        <w:rPr>
          <w:rFonts w:ascii="Arial" w:eastAsia="Arial" w:hAnsi="Arial" w:cs="Arial"/>
          <w:sz w:val="22"/>
          <w:szCs w:val="22"/>
        </w:rPr>
      </w:pPr>
    </w:p>
    <w:p w:rsidR="0098634D" w:rsidRDefault="0098634D">
      <w:pPr>
        <w:jc w:val="center"/>
        <w:rPr>
          <w:rFonts w:ascii="Arial" w:eastAsia="Arial" w:hAnsi="Arial" w:cs="Arial"/>
          <w:b/>
          <w:sz w:val="22"/>
          <w:szCs w:val="22"/>
        </w:rPr>
      </w:pPr>
    </w:p>
    <w:p w:rsidR="0098634D" w:rsidRDefault="0098634D">
      <w:pPr>
        <w:jc w:val="center"/>
        <w:rPr>
          <w:rFonts w:ascii="Arial" w:eastAsia="Arial" w:hAnsi="Arial" w:cs="Arial"/>
          <w:b/>
          <w:sz w:val="22"/>
          <w:szCs w:val="22"/>
        </w:rPr>
      </w:pPr>
    </w:p>
    <w:p w:rsidR="0098634D" w:rsidRDefault="00DF5BC3">
      <w:pPr>
        <w:rPr>
          <w:rFonts w:ascii="Arial" w:eastAsia="Arial" w:hAnsi="Arial" w:cs="Arial"/>
          <w:b/>
          <w:sz w:val="22"/>
          <w:szCs w:val="22"/>
        </w:rPr>
      </w:pPr>
      <w:bookmarkStart w:id="1" w:name="_heading=h.30j0zll" w:colFirst="0" w:colLast="0"/>
      <w:bookmarkEnd w:id="1"/>
      <w:r>
        <w:rPr>
          <w:rFonts w:ascii="Arial" w:eastAsia="Arial" w:hAnsi="Arial" w:cs="Arial"/>
          <w:b/>
          <w:sz w:val="22"/>
          <w:szCs w:val="22"/>
        </w:rPr>
        <w:t>PONENCIA PARA PRIMER DEBATE AL PROYECTO DE ACUERDO No. 315 DE 2025</w:t>
      </w:r>
      <w:r>
        <w:rPr>
          <w:rFonts w:ascii="Arial" w:eastAsia="Arial" w:hAnsi="Arial" w:cs="Arial"/>
          <w:b/>
          <w:i/>
          <w:sz w:val="22"/>
          <w:szCs w:val="22"/>
        </w:rPr>
        <w:t>“</w:t>
      </w:r>
      <w:r>
        <w:rPr>
          <w:rFonts w:ascii="Arial" w:eastAsia="Arial" w:hAnsi="Arial" w:cs="Arial"/>
          <w:b/>
          <w:sz w:val="22"/>
          <w:szCs w:val="22"/>
        </w:rPr>
        <w:t xml:space="preserve">POR MEDIO DEL CUAL SE EXALTA LA MEMORIA DE JESSICA LILIANA </w:t>
      </w:r>
      <w:r>
        <w:rPr>
          <w:rFonts w:ascii="Arial" w:eastAsia="Arial" w:hAnsi="Arial" w:cs="Arial"/>
          <w:b/>
          <w:sz w:val="22"/>
          <w:szCs w:val="22"/>
        </w:rPr>
        <w:lastRenderedPageBreak/>
        <w:t>RAMÍREZ GAVIRIA WEPD, SE ESTABLECEN LOS LINEAMIENTOS DE LA ESTRATEGIA DE ATENCIÓN INTEGRAL PARA LAS PERSONAS CON ENFERMEDADES HUÉRFANAS EN EL DISTRITO CAPITAL Y SE DICTAN OTRAS DISPOSICIONES</w:t>
      </w:r>
      <w:r>
        <w:rPr>
          <w:rFonts w:ascii="Arial" w:eastAsia="Arial" w:hAnsi="Arial" w:cs="Arial"/>
          <w:b/>
          <w:i/>
          <w:sz w:val="22"/>
          <w:szCs w:val="22"/>
        </w:rPr>
        <w:t>"</w:t>
      </w:r>
    </w:p>
    <w:p w:rsidR="0098634D" w:rsidRDefault="0098634D">
      <w:pPr>
        <w:jc w:val="center"/>
        <w:rPr>
          <w:rFonts w:ascii="Arial" w:eastAsia="Arial" w:hAnsi="Arial" w:cs="Arial"/>
          <w:b/>
          <w:i/>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De conformidad con la asignación realizada por la Presidencia del Concejo de Bogotá D.C. y con fundamento en el artículo 71 del Acuerdo 741 de 2019, nos permitimos presentar ponencia para primer debate al Proyecto de Acuerdo No. 315 de 2025 </w:t>
      </w:r>
      <w:r>
        <w:rPr>
          <w:rFonts w:ascii="Arial" w:eastAsia="Arial" w:hAnsi="Arial" w:cs="Arial"/>
          <w:i/>
          <w:sz w:val="22"/>
          <w:szCs w:val="22"/>
        </w:rPr>
        <w:t>“</w:t>
      </w:r>
      <w:r>
        <w:rPr>
          <w:rFonts w:ascii="Arial" w:eastAsia="Arial" w:hAnsi="Arial" w:cs="Arial"/>
          <w:sz w:val="22"/>
          <w:szCs w:val="22"/>
        </w:rPr>
        <w:t>Por medio del cual se exalta la memoria de Jessica Liliana Ramírez Gaviria QEPD, se establecen los lineamientos de la estrategia de atención integral para las personas con enfermedades huérfanas en el Distrito Capital y se dictan otras disposiciones", en los siguientes términos:</w:t>
      </w:r>
    </w:p>
    <w:p w:rsidR="0098634D" w:rsidRDefault="0098634D">
      <w:pPr>
        <w:jc w:val="both"/>
        <w:rPr>
          <w:rFonts w:ascii="Arial" w:eastAsia="Arial" w:hAnsi="Arial" w:cs="Arial"/>
          <w:sz w:val="22"/>
          <w:szCs w:val="22"/>
        </w:rPr>
      </w:pPr>
    </w:p>
    <w:p w:rsidR="0098634D" w:rsidRDefault="00DF5BC3">
      <w:pPr>
        <w:numPr>
          <w:ilvl w:val="0"/>
          <w:numId w:val="1"/>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RESUMEN DE LA INICIATIVA</w:t>
      </w:r>
    </w:p>
    <w:p w:rsidR="0098634D" w:rsidRDefault="00DF5BC3">
      <w:pPr>
        <w:jc w:val="both"/>
        <w:rPr>
          <w:rFonts w:ascii="Arial" w:eastAsia="Arial" w:hAnsi="Arial" w:cs="Arial"/>
          <w:sz w:val="22"/>
          <w:szCs w:val="22"/>
        </w:rPr>
      </w:pPr>
      <w:r>
        <w:rPr>
          <w:rFonts w:ascii="Arial" w:eastAsia="Arial" w:hAnsi="Arial" w:cs="Arial"/>
          <w:sz w:val="22"/>
          <w:szCs w:val="22"/>
        </w:rPr>
        <w:t>El Proyecto de Acuerdo presentado ante el Concejo de Bogotá busca mejorar la atención y garantizar los derechos de las personas con enfermedades huérfanas, destacando la necesidad de fortalecer el sistema de salud y eliminar las barreras que dificultan el acceso a tratamientos adecuados.</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Según la Organización Mundial de la Salud, existen entre 5.000 y 7.000 enfermedades raras que afectan aproximadamente entre el 6% y el 8% de la población mundial. En Colombia, el Ministerio de Salud y Protección Social las define como afecciones crónicas, debilitantes y con una prevalencia menor a una por cada 5.000 personas. Aunque su origen exacto es desconocido, en muchos casos se relaciona con mutaciones genéticas heredadas. Sin embargo, el diagnóstico de estas enfermedades puede tardar años, lo que limita la atención oportuna y adecuada. A esto se suman las dificultades en el acceso a tratamientos, la falta de conocimiento médico especializado y los elevados costos de los medicamentos. Se estima que entre el 50% y el 75% de los pacientes con enfermedades raras son niños, lo que resalta la urgencia de adoptar políticas de protección y atención integral.</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Un caso emblemático de estas deficiencias en el sistema de salud es el de Jessica Liliana Ramírez Gaviria, quien nació con epidermólisis bullosa distrófica, una enfermedad genética que provoca extrema fragilidad en la piel. Desde su nacimiento, Jessica y su familia enfrentaron múltiples obstáculos para acceder a los tratamientos que requería. Su EPS, Mutual Ser ARS, le negó atención médica y la entrega de medicamentos durante años, lo que llevó a su familia a interponer una acción de tutela. Aunque la Corte Constitucional falló a su favor y ordenó el suministro del tratamiento adecuado, la EPS desacató la orden judicial, obligando a la familia a recurrir a médicos particulares y a la fundación DEBRA para recibir asistencia temporal. Sin embargo, la falta de apoyo financiero y la negativa de la EPS a cubrir los medicamentos necesarios agravaron su situación.</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En 2014, la Comisión Interamericana de Derechos Humanos (CIDH) recibió una denuncia sobre la vulneración de sus derechos y, en 2015, con el respaldo de la Organización Panamericana de la Salud (OPS), reconoció la urgencia de su estado de salud y exigió al Estado colombiano la adopción de medidas cautelares para garantizar su tratamiento. A pesar de ello, las medidas no fueron implementadas por falta de concertación, lo que </w:t>
      </w:r>
      <w:r>
        <w:rPr>
          <w:rFonts w:ascii="Arial" w:eastAsia="Arial" w:hAnsi="Arial" w:cs="Arial"/>
          <w:sz w:val="22"/>
          <w:szCs w:val="22"/>
        </w:rPr>
        <w:lastRenderedPageBreak/>
        <w:t>provocó el progresivo deterioro de Jessica. Finalmente, en febrero de 2016, tras múltiples hospitalizaciones sin recibir un tratamiento integral y ante la negativa de traslado a cuidados intensivos por falta de camas, Jessica falleció en un avanzado estado de infección y desnutrición.</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Este caso evidenció las graves falencias estructurales del sistema de salud colombiano y la ausencia de políticas efectivas para la protección de personas con enfermedades raras. En 2023, el Estado colombiano reconoció su responsabilidad ante la CIDH y propuso una solución amistosa que incluyera medidas de reparación para la familia de Jessica y garantías de no repetición. En este contexto, se exhorta al Concejo de Bogotá a adoptar medidas concretas para mejorar la atención a los pacientes con enfermedades huérfanas, asegurando su acceso a tratamientos oportunos y adecuados.</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En definitiva, el Proyecto de Acuerdo busca no solo reconocer la memoria de Jessica Liliana Ramírez Gaviria, sino también establecer medidas concretas para garantizar el acceso efectivo a la salud de quienes padecen enfermedades huérfanas y promover la dignificación de sus condiciones de vida.</w:t>
      </w:r>
    </w:p>
    <w:p w:rsidR="0098634D" w:rsidRDefault="0098634D">
      <w:pPr>
        <w:jc w:val="both"/>
        <w:rPr>
          <w:rFonts w:ascii="Arial" w:eastAsia="Arial" w:hAnsi="Arial" w:cs="Arial"/>
          <w:color w:val="FF0000"/>
          <w:sz w:val="22"/>
          <w:szCs w:val="22"/>
          <w:u w:val="single"/>
        </w:rPr>
      </w:pPr>
    </w:p>
    <w:p w:rsidR="0098634D" w:rsidRDefault="00DF5BC3">
      <w:pPr>
        <w:numPr>
          <w:ilvl w:val="0"/>
          <w:numId w:val="1"/>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ANTECEDENTES</w:t>
      </w:r>
    </w:p>
    <w:p w:rsidR="0098634D" w:rsidRDefault="00DF5BC3">
      <w:pPr>
        <w:spacing w:line="276" w:lineRule="auto"/>
        <w:jc w:val="both"/>
        <w:rPr>
          <w:rFonts w:ascii="Arial" w:eastAsia="Arial" w:hAnsi="Arial" w:cs="Arial"/>
          <w:sz w:val="22"/>
          <w:szCs w:val="22"/>
        </w:rPr>
      </w:pPr>
      <w:r>
        <w:rPr>
          <w:rFonts w:ascii="Arial" w:eastAsia="Arial" w:hAnsi="Arial" w:cs="Arial"/>
          <w:sz w:val="22"/>
          <w:szCs w:val="22"/>
        </w:rPr>
        <w:t>El Proyecto de Acuerdo 315 de 2025 no cuenta con antecedentes según los informes anuales titulados “</w:t>
      </w:r>
      <w:r>
        <w:rPr>
          <w:rFonts w:ascii="Arial" w:eastAsia="Arial" w:hAnsi="Arial" w:cs="Arial"/>
          <w:i/>
          <w:sz w:val="22"/>
          <w:szCs w:val="22"/>
        </w:rPr>
        <w:t>Relación de Proyectos de Acuerdo del período 2021-2024</w:t>
      </w:r>
      <w:r>
        <w:rPr>
          <w:rFonts w:ascii="Arial" w:eastAsia="Arial" w:hAnsi="Arial" w:cs="Arial"/>
          <w:sz w:val="22"/>
          <w:szCs w:val="22"/>
        </w:rPr>
        <w:t>”, en la intranet del Concejo de Bogotá.</w:t>
      </w:r>
    </w:p>
    <w:p w:rsidR="0098634D" w:rsidRDefault="0098634D">
      <w:pPr>
        <w:jc w:val="both"/>
        <w:rPr>
          <w:rFonts w:ascii="Arial" w:eastAsia="Arial" w:hAnsi="Arial" w:cs="Arial"/>
          <w:b/>
          <w:sz w:val="22"/>
          <w:szCs w:val="22"/>
        </w:rPr>
      </w:pPr>
    </w:p>
    <w:p w:rsidR="0098634D" w:rsidRDefault="00DF5BC3">
      <w:pPr>
        <w:numPr>
          <w:ilvl w:val="0"/>
          <w:numId w:val="1"/>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OBJETO DEL PROYECTO DE ACUERDO</w:t>
      </w:r>
    </w:p>
    <w:p w:rsidR="0098634D" w:rsidRDefault="00DF5BC3">
      <w:pPr>
        <w:jc w:val="both"/>
        <w:rPr>
          <w:rFonts w:ascii="Arial" w:eastAsia="Arial" w:hAnsi="Arial" w:cs="Arial"/>
          <w:i/>
          <w:sz w:val="22"/>
          <w:szCs w:val="22"/>
        </w:rPr>
      </w:pPr>
      <w:r>
        <w:rPr>
          <w:rFonts w:ascii="Arial" w:eastAsia="Arial" w:hAnsi="Arial" w:cs="Arial"/>
          <w:sz w:val="22"/>
          <w:szCs w:val="22"/>
        </w:rPr>
        <w:t>El proyecto de acuerdo sobre el cual se adelanta la siguiente ponencia tiene como objetivo honrar la memoria de Jessica Liliana Ramírez Gaviria mediante acciones de reparación y garantías de no repetición, además de definir los lineamientos para diseñar e implementar la Estrategia Distrital de Atención Integral para Personas con Enfermedades Huérfanas, con el objetivo de reducir barreras y mejorar las condiciones de vida de esa población</w:t>
      </w:r>
      <w:r>
        <w:rPr>
          <w:rFonts w:ascii="Arial" w:eastAsia="Arial" w:hAnsi="Arial" w:cs="Arial"/>
          <w:i/>
          <w:sz w:val="22"/>
          <w:szCs w:val="22"/>
        </w:rPr>
        <w:t xml:space="preserve">. </w:t>
      </w:r>
    </w:p>
    <w:p w:rsidR="0098634D" w:rsidRDefault="0098634D">
      <w:pPr>
        <w:jc w:val="both"/>
        <w:rPr>
          <w:rFonts w:ascii="Arial" w:eastAsia="Arial" w:hAnsi="Arial" w:cs="Arial"/>
          <w:i/>
          <w:sz w:val="22"/>
          <w:szCs w:val="22"/>
        </w:rPr>
      </w:pPr>
    </w:p>
    <w:p w:rsidR="0098634D" w:rsidRDefault="0098634D">
      <w:pPr>
        <w:jc w:val="both"/>
        <w:rPr>
          <w:rFonts w:ascii="Arial" w:eastAsia="Arial" w:hAnsi="Arial" w:cs="Arial"/>
          <w:sz w:val="22"/>
          <w:szCs w:val="22"/>
        </w:rPr>
      </w:pPr>
    </w:p>
    <w:p w:rsidR="0098634D" w:rsidRDefault="00DF5BC3">
      <w:pPr>
        <w:numPr>
          <w:ilvl w:val="0"/>
          <w:numId w:val="1"/>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MARCO NORMATIVO</w:t>
      </w: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En cuanto al bloque de convencionalidad, es importante mencionar que el derecho a la salud está reconocido en el Sistema Universal de Protección de Derechos Humanos a través del Pacto Internacional de Derechos Económicos, Sociales y Culturales (PIDESC) de 1966, adoptado en Colombia mediante la Ley 74 de 1968, cuyo artículo 12 establece que toda persona tiene derecho al más alto nivel posible de salud física y mental. Asimismo, en el Sistema Interamericano de Derechos Humanos (SIDH), el Protocolo de San Salvador de 1988, aprobado por el Estado colombiano mediante la Ley 319 de 1996, reconoció este derecho en su artículo 10, definiéndolo como el disfrute del mayor bienestar físico, mental y social.</w:t>
      </w:r>
    </w:p>
    <w:p w:rsidR="0098634D" w:rsidRDefault="0098634D">
      <w:pPr>
        <w:jc w:val="both"/>
        <w:rPr>
          <w:rFonts w:ascii="Arial" w:eastAsia="Arial" w:hAnsi="Arial" w:cs="Arial"/>
          <w:b/>
          <w:i/>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lastRenderedPageBreak/>
        <w:t>A nivel nacional, la Constitución Política de 1991, en su artículo 1°, adoptó el modelo de Estado Social de Derecho, fundamentado en principios como la dignidad humana y la solidaridad. Estos valores sustentan la iniciativa que exalta la memoria de Jessica Liliana Ramírez Gaviria y establece los lineamientos para la implementación de una estrategia de atención integral a las personas con enfermedades huérfanas en el Distrito. En esta misma línea, el artículo 2° de la Constitución reconoce como uno de los fines esenciales del Estado la protección de todas las personas en su vida, honra, bienes y demás derechos y libertades, garantizando así el acceso a la salud y el derecho a una vida digna para todos los colombianos.</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Por otra parte, el artículo 49 de la Constitución consagra que “</w:t>
      </w:r>
      <w:r>
        <w:rPr>
          <w:rFonts w:ascii="Arial" w:eastAsia="Arial" w:hAnsi="Arial" w:cs="Arial"/>
          <w:i/>
          <w:sz w:val="22"/>
          <w:szCs w:val="22"/>
        </w:rPr>
        <w:t xml:space="preserve">La atención de la salud y el saneamiento ambiental son servicios públicos a cargo del Estado. Se garantiza a todas las personas el acceso a los servicios de promoción, protección y recuperación de la salud.” </w:t>
      </w:r>
      <w:r>
        <w:rPr>
          <w:rFonts w:ascii="Arial" w:eastAsia="Arial" w:hAnsi="Arial" w:cs="Arial"/>
          <w:sz w:val="22"/>
          <w:szCs w:val="22"/>
        </w:rPr>
        <w:t>Aunque inicialmente la Constitución no estableció el Derecho a la Salud como un derecho Fundamental la Corte Constitucional mediante su jurisprudencia le dio tal rango con la sentencia hito T-760 de 2008. Posteriormente, mediante la Ley 1751 de 2015 o Ley Estatutaria en Salud, el legislador elevó a un rango estatutario el derecho a la salud, definiéndolo como “</w:t>
      </w:r>
      <w:r>
        <w:rPr>
          <w:rFonts w:ascii="Arial" w:eastAsia="Arial" w:hAnsi="Arial" w:cs="Arial"/>
          <w:i/>
          <w:sz w:val="22"/>
          <w:szCs w:val="22"/>
        </w:rPr>
        <w:t>la facultad que tiene todo ser humano de mantener la normalidad orgánica funcional, tanto física como en el plano de la operatividad mental, y de restablecerse cuando se presente una perturbación en la estabilidad orgánica y funcional de su ser”</w:t>
      </w:r>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En este sentido, el derecho a la salud tiene una doble dimensión: por un lado, es un derecho fundamental, autónomo e irrenunciable, indispensable para garantizar una vida digna y de calidad; por otro, constituye un servicio público esencial que el Estado debe proporcionar conforme a los principios de eficiencia, universalidad y solidaridad (Corte Constitucional, 2024). Esta garantía adquiere especial relevancia en el caso de las personas con enfermedades huérfanas, quienes requieren atención médica especializada, continua y accesible. Es decir, que el Estado colombiano tiene la obligación de asegurar la prestación de estos servicios de manera oportuna y eficiente, garantizando que todos los pacientes reciban el tratamiento adecuado y sin barreras que limiten su derecho a la salud.</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En respuesta a la necesidad de garantizar la protección de las personas con enfermedades huérfanas, consideradas sujetos de especial protección, el legislador colombiano promulgó la Ley 1392 de 2010. Esta norma reconoce dichas enfermedades como un asunto de especial interés en salud y establece disposiciones para asegurar la protección social tanto de los pacientes como de sus cuidadores. La ley destaca que, debido a la baja prevalencia, el difícil diagnóstico y el alto costo de los tratamientos, las enfermedades huérfanas requieren un enfoque diferenciado dentro del Sistema General de Seguridad Social en Salud. Por ello, se establecen mecanismos específicos que incluyen procesos de atención especializados y un seguimiento administrativo adecuado para garantizar el acceso oportuno a los servicios médicos necesarios.</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La mencionada ley fue la primera en establecer una definición para las enfermedades huérfanas. No obstante, en 2011, con la expedición de la Ley 1438, dicha definición fue modificada, quedando de la siguiente manera: “se consideran enfermedades huérfanas </w:t>
      </w:r>
      <w:r>
        <w:rPr>
          <w:rFonts w:ascii="Arial" w:eastAsia="Arial" w:hAnsi="Arial" w:cs="Arial"/>
          <w:sz w:val="22"/>
          <w:szCs w:val="22"/>
        </w:rPr>
        <w:lastRenderedPageBreak/>
        <w:t>aquellas que son crónicamente debilitantes, graves, que ponen en riesgo la vida y que tienen una prevalencia menor de 1 por cada 5.000 personas, incluyendo dentro de esta categoría las enfermedades raras, ultrahuérfanas y olvidadas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Posteriormente, en el año 2015, ante las barreras que enfrentan los sujetos de especial protección para acceder al sistema de salud, el legislador colombiano precisó quiénes deben ser reconocidos bajo esta categoría, mediante la Ley 1751 de 2015. En dicha normativa, se estableció expresamente que las personas con enfermedades huérfanas tienen derecho a una protección reforzada por parte del Estado. Además, la ley enfatiza que su acceso a los servicios de salud no debe verse restringido por obstáculos administrativos o económicos, garantizando así condiciones óptimas de atención y tratamiento.</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A partir de 2012, se empezaron a expedir normas reglamentarias relacionadas con lo atinente a las enfermedades huérfanas, como el Decreto Nacional 1954, compilado en la Parte 8, Título 4 del Decreto 780 del 2016, por medio del cual se pretende implementar el sistema de información de pacientes con enfermedades huérfanas para mejorar y garantizar la atención en salud de los pacientes con enfermedades huérfanas. La finalidad de esta norma es contar con un sistema de información básico que proporcione mayor conocimiento sobre las enfermedades huérfanas, su incidencia, su prevalencia, su tasa de mortalidad y número de casos detectados en cada área geográfica. Lo anterior con el objetivo de identificar los recursos que se requieren, evitar la intermediación en la prestación del servicio y entrega de medicamentos, evitar fraudes y garantizar que cada paciente/cuidador reciba efectivamente los servicios que requiere, todo bajo un enfoque de protección social. Con este decreto se reglamenta el deber legal que surge del artículo 7 de la Ley 1392 de 2010, que le exige al Gobierno Nacional implementar un sistema de información de pacientes con enfermedades huérfanas.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Por otro lado, el Ministerio de Salud y Protección Social expidió la Resolución 3681 de 2013, mediante la cual se establecen los contenidos y requisitos técnicos de la información que debe ser reportada para la elaboración del censo de pacientes con enfermedades huérfanas (FECOER, 2021). Asimismo, dicho ministerio emitió la Resolución 2084 de 2015, actualizada posteriormente por la Resolución 5265 de 2018, en la que se detalla el listado oficial de enfermedades huérfanas en Colombia y se asigna un código único de identificación para cada una dentro del sistema de información de pacientes con estas patologías. Esta normativa es de aplicación obligatoria para las Entidades Promotoras de Salud (EPS) y demás instituciones que integran el sistema de salud en el país, con el fin de garantizar el registro, seguimiento y atención adecuada de los pacientes con enfermedades raras.</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Posteriormente, el Ministerio de Salud y Protección Social expidió la Resolución 651 de 2018, en la cual se establecen las condiciones de habilitación para los centros de referencia de diagnóstico, tratamiento y farmacias destinados a la atención integral de pacientes con enfermedades huérfanas. Además, dicha resolución reglamenta la conformación de la red y subredes de centros de referencia, con el propósito de optimizar la prestación de servicios de salud especializados para esta población. Esta normativa fue emitida en cumplimiento </w:t>
      </w:r>
      <w:r>
        <w:rPr>
          <w:rFonts w:ascii="Arial" w:eastAsia="Arial" w:hAnsi="Arial" w:cs="Arial"/>
          <w:sz w:val="22"/>
          <w:szCs w:val="22"/>
        </w:rPr>
        <w:lastRenderedPageBreak/>
        <w:t>del mandato legal consagrado en el artículo 9° de la Ley 1392 de 2010, el cual establece la obligación del Estado de fomentar la creación y fortalecimiento de centros especializados para el diagnóstico, tratamiento y seguimiento de las enfermedades huérfanas, garantizando así una atención integral y de calidad para los pacientes afectados.</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En adición, la Resolución 946 de 2019 del Ministerio de Salud y Protección Social dicta disposiciones relacionadas con el Registro Nacional de Pacientes con Enfermedades Huérfanas y la notificación de las mismas al Sistema de Vigilancia en Salud Pública, en concordancia con la Ley 1392 de 2019.</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Finalmente, respecto a la jurisprudencia de la Corte Constitucional de Colombia, de manera reiterada, ha manifestado que los pacientes con enfermedades huérfanas se encuentran en una situación de debilidad manifiesta debido a las dificultades especiales a las que se enfrentan. En consecuencia, son catalogados como sujetos de especial protección, imponiéndole al juez de tutela el deber de estar “</w:t>
      </w:r>
      <w:r>
        <w:rPr>
          <w:rFonts w:ascii="Arial" w:eastAsia="Arial" w:hAnsi="Arial" w:cs="Arial"/>
          <w:i/>
          <w:sz w:val="22"/>
          <w:szCs w:val="22"/>
        </w:rPr>
        <w:t xml:space="preserve">particularmente atento a advertir las causas de la vulneración de los derechos fundamentales, con el fin de detenerlas” </w:t>
      </w:r>
      <w:r>
        <w:rPr>
          <w:rFonts w:ascii="Arial" w:eastAsia="Arial" w:hAnsi="Arial" w:cs="Arial"/>
          <w:sz w:val="22"/>
          <w:szCs w:val="22"/>
        </w:rPr>
        <w:t xml:space="preserve">(Corte Constitucional de Colombia, 2023). </w:t>
      </w:r>
    </w:p>
    <w:p w:rsidR="0098634D" w:rsidRDefault="0098634D">
      <w:pPr>
        <w:jc w:val="both"/>
        <w:rPr>
          <w:rFonts w:ascii="Arial" w:eastAsia="Arial" w:hAnsi="Arial" w:cs="Arial"/>
          <w:sz w:val="22"/>
          <w:szCs w:val="22"/>
        </w:rPr>
      </w:pPr>
    </w:p>
    <w:p w:rsidR="0098634D" w:rsidRDefault="0098634D">
      <w:pPr>
        <w:jc w:val="both"/>
        <w:rPr>
          <w:rFonts w:ascii="Arial" w:eastAsia="Arial" w:hAnsi="Arial" w:cs="Arial"/>
          <w:sz w:val="22"/>
          <w:szCs w:val="22"/>
        </w:rPr>
      </w:pPr>
    </w:p>
    <w:p w:rsidR="0098634D" w:rsidRDefault="00DF5BC3">
      <w:pPr>
        <w:numPr>
          <w:ilvl w:val="0"/>
          <w:numId w:val="1"/>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CONSIDERACIONES DE LA PONENCIA</w:t>
      </w:r>
    </w:p>
    <w:p w:rsidR="0098634D" w:rsidRDefault="00DF5BC3">
      <w:pPr>
        <w:jc w:val="both"/>
        <w:rPr>
          <w:rFonts w:ascii="Arial" w:eastAsia="Arial" w:hAnsi="Arial" w:cs="Arial"/>
          <w:sz w:val="22"/>
          <w:szCs w:val="22"/>
        </w:rPr>
      </w:pPr>
      <w:r>
        <w:rPr>
          <w:rFonts w:ascii="Arial" w:eastAsia="Arial" w:hAnsi="Arial" w:cs="Arial"/>
          <w:sz w:val="22"/>
          <w:szCs w:val="22"/>
        </w:rPr>
        <w:t>La iniciativa presentada por los honorables concejales Julián Rodríguez Sastoque, Andrés Darío Onzaga Niño y Edward Aníbal Arias Rubio de la bancada del partido Alianza Verde, plantea exaltar la memoria de Jessica Liliana Ramírez Gaviria mediante el fortalecimiento de las estrategias para garantizar el acceso a la salud de las personas que padecen enfermedades huérfanas. En este sentido, la ponencia está estructura en torno a los siguientes ejes temáticos: (i) experiencia internacional, (ii) avances jurisprudenciales, (iii) marco normativo, (iv) regulación actual de enfermedades huérfanas en Bogotá y (v) gestión del Ministerio de Salud y Protección Social.</w:t>
      </w:r>
    </w:p>
    <w:p w:rsidR="0098634D" w:rsidRDefault="0098634D">
      <w:pPr>
        <w:jc w:val="both"/>
        <w:rPr>
          <w:rFonts w:ascii="Arial" w:eastAsia="Arial" w:hAnsi="Arial" w:cs="Arial"/>
          <w:sz w:val="22"/>
          <w:szCs w:val="22"/>
        </w:rPr>
      </w:pPr>
    </w:p>
    <w:p w:rsidR="0098634D" w:rsidRDefault="00DF5BC3">
      <w:pPr>
        <w:numPr>
          <w:ilvl w:val="1"/>
          <w:numId w:val="1"/>
        </w:numPr>
        <w:pBdr>
          <w:top w:val="nil"/>
          <w:left w:val="nil"/>
          <w:bottom w:val="nil"/>
          <w:right w:val="nil"/>
          <w:between w:val="nil"/>
        </w:pBdr>
        <w:spacing w:line="259" w:lineRule="auto"/>
        <w:jc w:val="both"/>
        <w:rPr>
          <w:rFonts w:ascii="Arial" w:eastAsia="Arial" w:hAnsi="Arial" w:cs="Arial"/>
          <w:b/>
          <w:color w:val="000000"/>
          <w:sz w:val="22"/>
          <w:szCs w:val="22"/>
        </w:rPr>
      </w:pPr>
      <w:r>
        <w:rPr>
          <w:rFonts w:ascii="Arial" w:eastAsia="Arial" w:hAnsi="Arial" w:cs="Arial"/>
          <w:b/>
          <w:color w:val="000000"/>
          <w:sz w:val="22"/>
          <w:szCs w:val="22"/>
        </w:rPr>
        <w:t>Experiencia Internacional</w:t>
      </w:r>
    </w:p>
    <w:p w:rsidR="0098634D" w:rsidRDefault="0098634D">
      <w:pPr>
        <w:pBdr>
          <w:top w:val="nil"/>
          <w:left w:val="nil"/>
          <w:bottom w:val="nil"/>
          <w:right w:val="nil"/>
          <w:between w:val="nil"/>
        </w:pBdr>
        <w:spacing w:line="259" w:lineRule="auto"/>
        <w:ind w:left="1080"/>
        <w:jc w:val="both"/>
        <w:rPr>
          <w:rFonts w:ascii="Arial" w:eastAsia="Arial" w:hAnsi="Arial" w:cs="Arial"/>
          <w:b/>
          <w:color w:val="000000"/>
          <w:sz w:val="22"/>
          <w:szCs w:val="22"/>
        </w:rPr>
      </w:pPr>
    </w:p>
    <w:p w:rsidR="0098634D" w:rsidRDefault="00DF5BC3">
      <w:pPr>
        <w:numPr>
          <w:ilvl w:val="2"/>
          <w:numId w:val="1"/>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Estados Unidos</w:t>
      </w: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 xml:space="preserve">De acuerdo con la U.S. Food &amp; Drug Administration (FDA) una de las formas en que el gobierno estadounidense ha enfrentado las dificultades propias de las enfermedades huérfanas y su tratamiento adecuado, fue la promulgación de la Ley de Medicamentos Huérfanos de 1983. Gracias a esta ley, la FDA ha aproado cientos de medicamentos para enfermedades raras, trabajando en conjunto con pacientes, cuidadores y fabricantes de medicamentos y dispositivos, para respaldar el desarrollo de productos para enfermedades raras. </w:t>
      </w:r>
    </w:p>
    <w:p w:rsidR="0098634D" w:rsidRDefault="0098634D">
      <w:pPr>
        <w:ind w:left="360"/>
        <w:jc w:val="both"/>
        <w:rPr>
          <w:rFonts w:ascii="Arial" w:eastAsia="Arial" w:hAnsi="Arial" w:cs="Arial"/>
          <w:i/>
          <w:color w:val="000000"/>
          <w:sz w:val="22"/>
          <w:szCs w:val="22"/>
        </w:rPr>
      </w:pPr>
    </w:p>
    <w:p w:rsidR="0098634D" w:rsidRDefault="00DF5BC3">
      <w:pPr>
        <w:ind w:left="360"/>
        <w:jc w:val="both"/>
        <w:rPr>
          <w:rFonts w:ascii="Arial" w:eastAsia="Arial" w:hAnsi="Arial" w:cs="Arial"/>
          <w:i/>
          <w:color w:val="000000"/>
          <w:sz w:val="22"/>
          <w:szCs w:val="22"/>
        </w:rPr>
      </w:pPr>
      <w:r>
        <w:rPr>
          <w:rFonts w:ascii="Arial" w:eastAsia="Arial" w:hAnsi="Arial" w:cs="Arial"/>
          <w:i/>
          <w:color w:val="000000"/>
          <w:sz w:val="22"/>
          <w:szCs w:val="22"/>
        </w:rPr>
        <w:t xml:space="preserve">“En términos generales la Ley de Medicamentos Huérfanos incentiva el desarrollo de medicamentos para ratar enfermedades raras. Las epresas y otros desarrolladores de medicamentos pueden solicitar la designación de medicamentos huérfanos y la FDA otorgarádicha designación si el medicamento cumple con unos criterios específicos. La </w:t>
      </w:r>
      <w:r>
        <w:rPr>
          <w:rFonts w:ascii="Arial" w:eastAsia="Arial" w:hAnsi="Arial" w:cs="Arial"/>
          <w:i/>
          <w:color w:val="000000"/>
          <w:sz w:val="22"/>
          <w:szCs w:val="22"/>
        </w:rPr>
        <w:lastRenderedPageBreak/>
        <w:t>designación de medicamento huérfano califica a los patrocinadores para varios incentivos, entre ellos: </w:t>
      </w:r>
    </w:p>
    <w:p w:rsidR="0098634D" w:rsidRDefault="0098634D">
      <w:pPr>
        <w:ind w:left="360"/>
        <w:jc w:val="both"/>
        <w:rPr>
          <w:rFonts w:ascii="Arial" w:eastAsia="Arial" w:hAnsi="Arial" w:cs="Arial"/>
          <w:i/>
          <w:color w:val="000000"/>
          <w:sz w:val="22"/>
          <w:szCs w:val="22"/>
        </w:rPr>
      </w:pPr>
    </w:p>
    <w:p w:rsidR="0098634D" w:rsidRDefault="00DF5BC3">
      <w:pPr>
        <w:numPr>
          <w:ilvl w:val="0"/>
          <w:numId w:val="4"/>
        </w:numPr>
        <w:pBdr>
          <w:top w:val="nil"/>
          <w:left w:val="nil"/>
          <w:bottom w:val="nil"/>
          <w:right w:val="nil"/>
          <w:between w:val="nil"/>
        </w:pBdr>
        <w:spacing w:line="259" w:lineRule="auto"/>
        <w:ind w:left="1080"/>
        <w:jc w:val="both"/>
        <w:rPr>
          <w:rFonts w:ascii="Arial" w:eastAsia="Arial" w:hAnsi="Arial" w:cs="Arial"/>
          <w:i/>
          <w:color w:val="000000"/>
          <w:sz w:val="22"/>
          <w:szCs w:val="22"/>
        </w:rPr>
      </w:pPr>
      <w:r>
        <w:rPr>
          <w:rFonts w:ascii="Arial" w:eastAsia="Arial" w:hAnsi="Arial" w:cs="Arial"/>
          <w:i/>
          <w:color w:val="000000"/>
          <w:sz w:val="22"/>
          <w:szCs w:val="22"/>
        </w:rPr>
        <w:t>Créditos fiscales para pruebas clínicas calificadas (en humanos)</w:t>
      </w:r>
    </w:p>
    <w:p w:rsidR="0098634D" w:rsidRDefault="00DF5BC3">
      <w:pPr>
        <w:numPr>
          <w:ilvl w:val="0"/>
          <w:numId w:val="4"/>
        </w:numPr>
        <w:pBdr>
          <w:top w:val="nil"/>
          <w:left w:val="nil"/>
          <w:bottom w:val="nil"/>
          <w:right w:val="nil"/>
          <w:between w:val="nil"/>
        </w:pBdr>
        <w:spacing w:line="259" w:lineRule="auto"/>
        <w:ind w:left="1080"/>
        <w:jc w:val="both"/>
        <w:rPr>
          <w:rFonts w:ascii="Arial" w:eastAsia="Arial" w:hAnsi="Arial" w:cs="Arial"/>
          <w:i/>
          <w:color w:val="000000"/>
          <w:sz w:val="22"/>
          <w:szCs w:val="22"/>
        </w:rPr>
      </w:pPr>
      <w:r>
        <w:rPr>
          <w:rFonts w:ascii="Arial" w:eastAsia="Arial" w:hAnsi="Arial" w:cs="Arial"/>
          <w:i/>
          <w:color w:val="000000"/>
          <w:sz w:val="22"/>
          <w:szCs w:val="22"/>
        </w:rPr>
        <w:t>Exención de la tarifa para usuarios de medicamentos recetados (que actualmente asciende a casi 3 millones de dólares para un medicamento nuevo)</w:t>
      </w:r>
    </w:p>
    <w:p w:rsidR="0098634D" w:rsidRDefault="00DF5BC3">
      <w:pPr>
        <w:numPr>
          <w:ilvl w:val="0"/>
          <w:numId w:val="4"/>
        </w:numPr>
        <w:pBdr>
          <w:top w:val="nil"/>
          <w:left w:val="nil"/>
          <w:bottom w:val="nil"/>
          <w:right w:val="nil"/>
          <w:between w:val="nil"/>
        </w:pBdr>
        <w:spacing w:after="160" w:line="259" w:lineRule="auto"/>
        <w:ind w:left="1080"/>
        <w:jc w:val="both"/>
        <w:rPr>
          <w:rFonts w:ascii="Arial" w:eastAsia="Arial" w:hAnsi="Arial" w:cs="Arial"/>
          <w:i/>
          <w:color w:val="000000"/>
          <w:sz w:val="22"/>
          <w:szCs w:val="22"/>
        </w:rPr>
      </w:pPr>
      <w:r>
        <w:rPr>
          <w:rFonts w:ascii="Arial" w:eastAsia="Arial" w:hAnsi="Arial" w:cs="Arial"/>
          <w:i/>
          <w:color w:val="000000"/>
          <w:sz w:val="22"/>
          <w:szCs w:val="22"/>
        </w:rPr>
        <w:t>Potencial de 7 años de exclusividad en el mercado después de la aprobación</w:t>
      </w:r>
    </w:p>
    <w:p w:rsidR="0098634D" w:rsidRDefault="0098634D">
      <w:pPr>
        <w:ind w:left="360"/>
        <w:jc w:val="both"/>
        <w:rPr>
          <w:rFonts w:ascii="Arial" w:eastAsia="Arial" w:hAnsi="Arial" w:cs="Arial"/>
          <w:i/>
          <w:color w:val="000000"/>
          <w:sz w:val="22"/>
          <w:szCs w:val="22"/>
        </w:rPr>
      </w:pPr>
    </w:p>
    <w:p w:rsidR="0098634D" w:rsidRDefault="00DF5BC3">
      <w:pPr>
        <w:ind w:left="360"/>
        <w:jc w:val="both"/>
        <w:rPr>
          <w:rFonts w:ascii="Arial" w:eastAsia="Arial" w:hAnsi="Arial" w:cs="Arial"/>
          <w:i/>
          <w:color w:val="000000"/>
          <w:sz w:val="22"/>
          <w:szCs w:val="22"/>
        </w:rPr>
      </w:pPr>
      <w:r>
        <w:rPr>
          <w:rFonts w:ascii="Arial" w:eastAsia="Arial" w:hAnsi="Arial" w:cs="Arial"/>
          <w:i/>
          <w:color w:val="000000"/>
          <w:sz w:val="22"/>
          <w:szCs w:val="22"/>
        </w:rPr>
        <w:t>(…) La Ley de Medicamentos Huérfanos estableció el </w:t>
      </w:r>
      <w:hyperlink r:id="rId9">
        <w:r>
          <w:rPr>
            <w:rFonts w:ascii="Arial" w:eastAsia="Arial" w:hAnsi="Arial" w:cs="Arial"/>
            <w:i/>
            <w:color w:val="000000"/>
            <w:sz w:val="22"/>
            <w:szCs w:val="22"/>
          </w:rPr>
          <w:t>Programa de Subvenciones para Productos Huérfanos</w:t>
        </w:r>
      </w:hyperlink>
      <w:r>
        <w:rPr>
          <w:rFonts w:ascii="Arial" w:eastAsia="Arial" w:hAnsi="Arial" w:cs="Arial"/>
          <w:i/>
          <w:color w:val="000000"/>
          <w:sz w:val="22"/>
          <w:szCs w:val="22"/>
        </w:rPr>
        <w:t> con el fin de proporcionar financiación para el desarrollo de productos para enfermedades o afecciones raras.”</w:t>
      </w:r>
      <w:r>
        <w:rPr>
          <w:rFonts w:ascii="Arial" w:eastAsia="Arial" w:hAnsi="Arial" w:cs="Arial"/>
          <w:color w:val="000000"/>
          <w:sz w:val="22"/>
          <w:szCs w:val="22"/>
        </w:rPr>
        <w:t xml:space="preserve"> (FDA, 2024)</w:t>
      </w:r>
      <w:r>
        <w:rPr>
          <w:rFonts w:ascii="Arial" w:eastAsia="Arial" w:hAnsi="Arial" w:cs="Arial"/>
          <w:color w:val="000000"/>
          <w:sz w:val="22"/>
          <w:szCs w:val="22"/>
          <w:vertAlign w:val="superscript"/>
        </w:rPr>
        <w:footnoteReference w:id="1"/>
      </w:r>
    </w:p>
    <w:p w:rsidR="0098634D" w:rsidRDefault="0098634D">
      <w:pPr>
        <w:jc w:val="both"/>
        <w:rPr>
          <w:rFonts w:ascii="Arial" w:eastAsia="Arial" w:hAnsi="Arial" w:cs="Arial"/>
          <w:color w:val="000000"/>
          <w:sz w:val="22"/>
          <w:szCs w:val="22"/>
        </w:rPr>
      </w:pP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Además de la Ley de Medicamentos Huérfanos, la FDA participa en la búsqueda y desarrollo de tratamientos para dichas enfermedades, entre las medidas que ha implementado están: (i) financiar investigaciones sobre enfermedades raras, incluyendo ensayos clínicos, estudios de historia natural y consorcios de dispositivos pediátricos. (ii) Comunicarse con organizaciones profesionales, pacientes y grupos de defensa de enfermedades raras para abordar temas relacionados con estas condiciones. (iii) Mediante la oficina de Desarrollo de Producto Huérfanos coordinar las actividades relacionadas con enfermedades raras y actuar como punto de contacto central para pacientes, cuidadores y grupos de defensa que tengan preguntas sobre el trabajo de la FDA en enfermedades huérfanas. (Ídem)</w:t>
      </w:r>
    </w:p>
    <w:p w:rsidR="0098634D" w:rsidRDefault="0098634D">
      <w:pPr>
        <w:jc w:val="both"/>
        <w:rPr>
          <w:rFonts w:ascii="Arial" w:eastAsia="Arial" w:hAnsi="Arial" w:cs="Arial"/>
          <w:color w:val="000000"/>
          <w:sz w:val="22"/>
          <w:szCs w:val="22"/>
        </w:rPr>
      </w:pP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Finalmente, para abordar los desafíos específicos en la aprobación de estos medicamentos huérfanos, los centros de la FDA imparten capacitaciones especializadas a su personal sobre enfermedades raras, publican guías para la industria con el fin de fomentar el desarrollo de productos médicos para enfermedades raras, organizan reuniones centradas en los pacientes y realizan sesiones de escucha sobre dichas enfermedades, incentivan la investigación y realizan programas piloto para el análisis de datos especiales para avanzar en la ciencia regulatoria de las enfermedades huérfanas, participan en el Consejo de Enfermedades Raras de la FDA para debatir sobre estos temas y colaboran en el evento anual del Día de las Enfermedades Raras de la FDA. (Ídem)</w:t>
      </w:r>
    </w:p>
    <w:p w:rsidR="0098634D" w:rsidRDefault="0098634D">
      <w:pPr>
        <w:jc w:val="both"/>
        <w:rPr>
          <w:rFonts w:ascii="Arial" w:eastAsia="Arial" w:hAnsi="Arial" w:cs="Arial"/>
          <w:color w:val="000000"/>
          <w:sz w:val="22"/>
          <w:szCs w:val="22"/>
        </w:rPr>
      </w:pPr>
    </w:p>
    <w:p w:rsidR="0098634D" w:rsidRDefault="00DF5BC3">
      <w:pPr>
        <w:numPr>
          <w:ilvl w:val="2"/>
          <w:numId w:val="1"/>
        </w:numPr>
        <w:pBdr>
          <w:top w:val="nil"/>
          <w:left w:val="nil"/>
          <w:bottom w:val="nil"/>
          <w:right w:val="nil"/>
          <w:between w:val="nil"/>
        </w:pBdr>
        <w:spacing w:after="160" w:line="259" w:lineRule="auto"/>
        <w:jc w:val="both"/>
        <w:rPr>
          <w:rFonts w:ascii="Arial" w:eastAsia="Arial" w:hAnsi="Arial" w:cs="Arial"/>
          <w:color w:val="000000"/>
          <w:sz w:val="22"/>
          <w:szCs w:val="22"/>
        </w:rPr>
      </w:pPr>
      <w:r>
        <w:rPr>
          <w:rFonts w:ascii="Arial" w:eastAsia="Arial" w:hAnsi="Arial" w:cs="Arial"/>
          <w:b/>
          <w:color w:val="000000"/>
          <w:sz w:val="22"/>
          <w:szCs w:val="22"/>
        </w:rPr>
        <w:t>Canadá:</w:t>
      </w: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 xml:space="preserve">La agencia de medicamentos de Canadá conocida como Canada’s Drug Agency (CDA), con el fin de mejorar la situación de las personas que padecen enfermedades huérfanas, ha llevado a cabo una serie de actividades que ayudarán a sentar las bases para facilitar el acceso datos del mundo real a partir de registros basados en enfermedades raras. </w:t>
      </w:r>
    </w:p>
    <w:p w:rsidR="0098634D" w:rsidRDefault="0098634D">
      <w:pPr>
        <w:jc w:val="both"/>
        <w:rPr>
          <w:rFonts w:ascii="Arial" w:eastAsia="Arial" w:hAnsi="Arial" w:cs="Arial"/>
          <w:color w:val="000000"/>
          <w:sz w:val="22"/>
          <w:szCs w:val="22"/>
        </w:rPr>
      </w:pPr>
    </w:p>
    <w:p w:rsidR="0098634D" w:rsidRDefault="00DF5BC3">
      <w:pPr>
        <w:ind w:left="720"/>
        <w:jc w:val="both"/>
        <w:rPr>
          <w:rFonts w:ascii="Arial" w:eastAsia="Arial" w:hAnsi="Arial" w:cs="Arial"/>
          <w:color w:val="000000"/>
          <w:sz w:val="22"/>
          <w:szCs w:val="22"/>
        </w:rPr>
      </w:pPr>
      <w:r>
        <w:rPr>
          <w:rFonts w:ascii="Arial" w:eastAsia="Arial" w:hAnsi="Arial" w:cs="Arial"/>
          <w:i/>
          <w:color w:val="000000"/>
          <w:sz w:val="22"/>
          <w:szCs w:val="22"/>
        </w:rPr>
        <w:t xml:space="preserve">“Un objetivo clave de este trabajo es ayudar a generar evidencia del mundo real adecuada para la toma de decisiones con el fin de abordar mejor las lagunas en la </w:t>
      </w:r>
      <w:r>
        <w:rPr>
          <w:rFonts w:ascii="Arial" w:eastAsia="Arial" w:hAnsi="Arial" w:cs="Arial"/>
          <w:i/>
          <w:color w:val="000000"/>
          <w:sz w:val="22"/>
          <w:szCs w:val="22"/>
        </w:rPr>
        <w:lastRenderedPageBreak/>
        <w:t xml:space="preserve">evidencia regulatoria, de evaluación de tecnologías sanitarias (ETS) y de los pagadores a lo largo del ciclo de vida de los medicamentos”. </w:t>
      </w:r>
      <w:r>
        <w:rPr>
          <w:rFonts w:ascii="Arial" w:eastAsia="Arial" w:hAnsi="Arial" w:cs="Arial"/>
          <w:color w:val="000000"/>
          <w:sz w:val="22"/>
          <w:szCs w:val="22"/>
        </w:rPr>
        <w:t>(CDA, n.f.)</w:t>
      </w:r>
      <w:r>
        <w:rPr>
          <w:rFonts w:ascii="Arial" w:eastAsia="Arial" w:hAnsi="Arial" w:cs="Arial"/>
          <w:color w:val="000000"/>
          <w:sz w:val="22"/>
          <w:szCs w:val="22"/>
          <w:vertAlign w:val="superscript"/>
        </w:rPr>
        <w:footnoteReference w:id="2"/>
      </w:r>
    </w:p>
    <w:p w:rsidR="0098634D" w:rsidRDefault="0098634D">
      <w:pPr>
        <w:jc w:val="both"/>
        <w:rPr>
          <w:rFonts w:ascii="Arial" w:eastAsia="Arial" w:hAnsi="Arial" w:cs="Arial"/>
          <w:color w:val="000000"/>
          <w:sz w:val="22"/>
          <w:szCs w:val="22"/>
        </w:rPr>
      </w:pP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Aunado a lo anterior, la CDA ha tomado varias medidas para lograr establecer una bases de datos consolidada, estas medidas son: i) elaborar un inventario de registro de enfermedades raras en Canadá, esto se logra mediante evaluaciones preliminares de los registros de enfermedades raras existentes y utilizando los estándares de calidad de la UE. (ii) Establecer normas de registro y mejores prácticas, esto se logra estableciendo estándares y pautas de datos para los registros de enfermedades; elaborando análisis del alcance de las recomendaciones y orientaciones para mejorar la calidad de los registros y creando hojas de ruta para vincular los datos de los registros con los datos de los servicios administrativos de salud, con el fin de respaldar la toma de decisiones basadas en evidencia. (iii) Poner a prueba la preparación y las capacidades de los registros de enfermedades raras existentes en el contexto de las evaluaciones de tecnologías sanitarias. (iv) Formar el Grupo Asesor de Registros de Enfermedades Raras. Este grupo se encarga de brindar asesoría y compartir conocimientos sobre las enfermedades raras. (ídem).</w:t>
      </w:r>
    </w:p>
    <w:p w:rsidR="0098634D" w:rsidRDefault="0098634D">
      <w:pPr>
        <w:jc w:val="both"/>
        <w:rPr>
          <w:rFonts w:ascii="Arial" w:eastAsia="Arial" w:hAnsi="Arial" w:cs="Arial"/>
          <w:color w:val="000000"/>
          <w:sz w:val="22"/>
          <w:szCs w:val="22"/>
        </w:rPr>
      </w:pPr>
    </w:p>
    <w:p w:rsidR="0098634D" w:rsidRDefault="00DF5BC3">
      <w:pPr>
        <w:numPr>
          <w:ilvl w:val="2"/>
          <w:numId w:val="1"/>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Unión Europea:</w:t>
      </w: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La Unión Europea (UE), ha priorizado las enfermedades raras dentro de sus objetivos en temas de salud, apuntando a “</w:t>
      </w:r>
      <w:r>
        <w:rPr>
          <w:rFonts w:ascii="Arial" w:eastAsia="Arial" w:hAnsi="Arial" w:cs="Arial"/>
          <w:i/>
          <w:color w:val="000000"/>
          <w:sz w:val="22"/>
          <w:szCs w:val="22"/>
        </w:rPr>
        <w:t>mejorar el diagnóstico y el tratamiento de los pacientes a través de la cooperación y la puesta en común de recursos</w:t>
      </w:r>
      <w:r>
        <w:rPr>
          <w:rFonts w:ascii="Arial" w:eastAsia="Arial" w:hAnsi="Arial" w:cs="Arial"/>
          <w:color w:val="000000"/>
          <w:sz w:val="22"/>
          <w:szCs w:val="22"/>
        </w:rPr>
        <w:t>” (UE, 2024). La UE cuenta con 24 redes europeas de referencia que reúnen a expertos en enfermedades huérfanas de 1600 centros especializados en 382 hospitales. Estas redes garantizan el acceso al conocimiento y por tanto, favorecen el proceso de diagnóstico y tratamiento de las enfermedades raras. De acuerdo con la página oficial de la UE (2024) otras medidas que han implementado son:</w:t>
      </w:r>
    </w:p>
    <w:p w:rsidR="0098634D" w:rsidRDefault="0098634D">
      <w:pPr>
        <w:jc w:val="both"/>
        <w:rPr>
          <w:rFonts w:ascii="Arial" w:eastAsia="Arial" w:hAnsi="Arial" w:cs="Arial"/>
          <w:color w:val="000000"/>
          <w:sz w:val="22"/>
          <w:szCs w:val="22"/>
        </w:rPr>
      </w:pPr>
    </w:p>
    <w:p w:rsidR="0098634D" w:rsidRDefault="00DF5BC3">
      <w:pPr>
        <w:numPr>
          <w:ilvl w:val="0"/>
          <w:numId w:val="5"/>
        </w:numPr>
        <w:jc w:val="both"/>
        <w:rPr>
          <w:rFonts w:ascii="Arial" w:eastAsia="Arial" w:hAnsi="Arial" w:cs="Arial"/>
          <w:color w:val="000000"/>
          <w:sz w:val="22"/>
          <w:szCs w:val="22"/>
        </w:rPr>
      </w:pPr>
      <w:r>
        <w:rPr>
          <w:rFonts w:ascii="Arial" w:eastAsia="Arial" w:hAnsi="Arial" w:cs="Arial"/>
          <w:color w:val="000000"/>
          <w:sz w:val="22"/>
          <w:szCs w:val="22"/>
        </w:rPr>
        <w:t>Invertir, en los próximos años, más de 77 millones de euros para consolidar y mejorar estas redes.</w:t>
      </w:r>
    </w:p>
    <w:p w:rsidR="0098634D" w:rsidRDefault="00DF5BC3">
      <w:pPr>
        <w:numPr>
          <w:ilvl w:val="0"/>
          <w:numId w:val="5"/>
        </w:numPr>
        <w:jc w:val="both"/>
        <w:rPr>
          <w:rFonts w:ascii="Arial" w:eastAsia="Arial" w:hAnsi="Arial" w:cs="Arial"/>
          <w:color w:val="000000"/>
          <w:sz w:val="22"/>
          <w:szCs w:val="22"/>
        </w:rPr>
      </w:pPr>
      <w:r>
        <w:rPr>
          <w:rFonts w:ascii="Arial" w:eastAsia="Arial" w:hAnsi="Arial" w:cs="Arial"/>
          <w:color w:val="000000"/>
          <w:sz w:val="22"/>
          <w:szCs w:val="22"/>
        </w:rPr>
        <w:t>Para integrar mejor estas redes en los sistemas sanitarios nacionales, en los próximos tres años se asignarán más de 18 millones de euros a nuevas acciones conjuntas, que incluirán también a Ucrania.</w:t>
      </w:r>
    </w:p>
    <w:p w:rsidR="0098634D" w:rsidRDefault="00DF5BC3">
      <w:pPr>
        <w:numPr>
          <w:ilvl w:val="0"/>
          <w:numId w:val="5"/>
        </w:numPr>
        <w:jc w:val="both"/>
        <w:rPr>
          <w:rFonts w:ascii="Arial" w:eastAsia="Arial" w:hAnsi="Arial" w:cs="Arial"/>
          <w:color w:val="000000"/>
          <w:sz w:val="22"/>
          <w:szCs w:val="22"/>
        </w:rPr>
      </w:pPr>
      <w:r>
        <w:rPr>
          <w:rFonts w:ascii="Arial" w:eastAsia="Arial" w:hAnsi="Arial" w:cs="Arial"/>
          <w:color w:val="000000"/>
          <w:sz w:val="22"/>
          <w:szCs w:val="22"/>
        </w:rPr>
        <w:t>A través de la nueva Asociación Europea sobre Enfermedades Raras, se aportarán 100 millones de euros para el desarrollo de diagnósticos y tratamientos.</w:t>
      </w:r>
    </w:p>
    <w:p w:rsidR="0098634D" w:rsidRDefault="00DF5BC3">
      <w:pPr>
        <w:numPr>
          <w:ilvl w:val="0"/>
          <w:numId w:val="5"/>
        </w:numPr>
        <w:jc w:val="both"/>
        <w:rPr>
          <w:rFonts w:ascii="Arial" w:eastAsia="Arial" w:hAnsi="Arial" w:cs="Arial"/>
          <w:color w:val="000000"/>
          <w:sz w:val="22"/>
          <w:szCs w:val="22"/>
        </w:rPr>
      </w:pPr>
      <w:r>
        <w:rPr>
          <w:rFonts w:ascii="Arial" w:eastAsia="Arial" w:hAnsi="Arial" w:cs="Arial"/>
          <w:color w:val="000000"/>
          <w:sz w:val="22"/>
          <w:szCs w:val="22"/>
        </w:rPr>
        <w:t>La reforma de la legislación farmacéutica de la UE continuará fomentando la inversión en medicamentos para aquellos ámbitos de las enfermedades raras con una financiación insuficiente.</w:t>
      </w:r>
    </w:p>
    <w:p w:rsidR="0098634D" w:rsidRDefault="00DF5BC3">
      <w:pPr>
        <w:numPr>
          <w:ilvl w:val="0"/>
          <w:numId w:val="5"/>
        </w:numPr>
        <w:jc w:val="both"/>
        <w:rPr>
          <w:rFonts w:ascii="Arial" w:eastAsia="Arial" w:hAnsi="Arial" w:cs="Arial"/>
          <w:color w:val="000000"/>
          <w:sz w:val="22"/>
          <w:szCs w:val="22"/>
        </w:rPr>
      </w:pPr>
      <w:r>
        <w:rPr>
          <w:rFonts w:ascii="Arial" w:eastAsia="Arial" w:hAnsi="Arial" w:cs="Arial"/>
          <w:color w:val="000000"/>
          <w:sz w:val="22"/>
          <w:szCs w:val="22"/>
        </w:rPr>
        <w:t>El espacio europeo de datos sanitarios aumentará la disponibilidad de los datos sanitarios digitales, lo que beneficiará a los pacientes con enfermedades raras.</w:t>
      </w:r>
    </w:p>
    <w:p w:rsidR="0098634D" w:rsidRDefault="00DF5BC3">
      <w:pPr>
        <w:numPr>
          <w:ilvl w:val="0"/>
          <w:numId w:val="5"/>
        </w:numPr>
        <w:jc w:val="both"/>
        <w:rPr>
          <w:rFonts w:ascii="Arial" w:eastAsia="Arial" w:hAnsi="Arial" w:cs="Arial"/>
          <w:color w:val="000000"/>
          <w:sz w:val="22"/>
          <w:szCs w:val="22"/>
        </w:rPr>
      </w:pPr>
      <w:r>
        <w:rPr>
          <w:rFonts w:ascii="Arial" w:eastAsia="Arial" w:hAnsi="Arial" w:cs="Arial"/>
          <w:color w:val="000000"/>
          <w:sz w:val="22"/>
          <w:szCs w:val="22"/>
        </w:rPr>
        <w:t xml:space="preserve">Seguirán desarrollando la Plataforma Europea para el Registro de Enfermedades Raras. En esta Plataforma se recopilan datos de los cientos de registros de </w:t>
      </w:r>
      <w:r>
        <w:rPr>
          <w:rFonts w:ascii="Arial" w:eastAsia="Arial" w:hAnsi="Arial" w:cs="Arial"/>
          <w:color w:val="000000"/>
          <w:sz w:val="22"/>
          <w:szCs w:val="22"/>
        </w:rPr>
        <w:lastRenderedPageBreak/>
        <w:t>enfermedades raras que existen en toda la UE, gracias a lo cual estos datos están disponibles y pueden consultarse.</w:t>
      </w:r>
    </w:p>
    <w:p w:rsidR="0098634D" w:rsidRDefault="0098634D">
      <w:pPr>
        <w:ind w:left="720"/>
        <w:jc w:val="both"/>
        <w:rPr>
          <w:rFonts w:ascii="Arial" w:eastAsia="Arial" w:hAnsi="Arial" w:cs="Arial"/>
          <w:color w:val="000000"/>
          <w:sz w:val="22"/>
          <w:szCs w:val="22"/>
        </w:rPr>
      </w:pPr>
    </w:p>
    <w:p w:rsidR="0098634D" w:rsidRDefault="00DF5BC3">
      <w:pPr>
        <w:numPr>
          <w:ilvl w:val="2"/>
          <w:numId w:val="1"/>
        </w:numPr>
        <w:pBdr>
          <w:top w:val="nil"/>
          <w:left w:val="nil"/>
          <w:bottom w:val="nil"/>
          <w:right w:val="nil"/>
          <w:between w:val="nil"/>
        </w:pBdr>
        <w:spacing w:after="160" w:line="259" w:lineRule="auto"/>
        <w:jc w:val="both"/>
        <w:rPr>
          <w:rFonts w:ascii="Arial" w:eastAsia="Arial" w:hAnsi="Arial" w:cs="Arial"/>
          <w:b/>
          <w:color w:val="000000"/>
          <w:sz w:val="22"/>
          <w:szCs w:val="22"/>
        </w:rPr>
      </w:pPr>
      <w:r>
        <w:rPr>
          <w:rFonts w:ascii="Arial" w:eastAsia="Arial" w:hAnsi="Arial" w:cs="Arial"/>
          <w:b/>
          <w:color w:val="000000"/>
          <w:sz w:val="22"/>
          <w:szCs w:val="22"/>
        </w:rPr>
        <w:t xml:space="preserve">México: </w:t>
      </w: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En 2023, se promulgó un acuerdo que reconoce las enfermedades raras incluidas en la Clasificación Internacional de Enfermedades de la Organización Mundial de la Salud (OMS), en respuesta al llamado de la ONU para que los países mejoren la cobertura sanitaria universal hacia 2030.</w:t>
      </w:r>
    </w:p>
    <w:p w:rsidR="0098634D" w:rsidRDefault="0098634D">
      <w:pPr>
        <w:jc w:val="both"/>
        <w:rPr>
          <w:rFonts w:ascii="Arial" w:eastAsia="Arial" w:hAnsi="Arial" w:cs="Arial"/>
          <w:color w:val="000000"/>
          <w:sz w:val="22"/>
          <w:szCs w:val="22"/>
        </w:rPr>
      </w:pP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Este acuerdo se basa en el derecho a la protección de la salud, consagrado en la Constitución mexicana, y establece directrices para garantizar el acceso a los servicios médicos. Además, se alinea con el Plan Nacional de Desarrollo 2019-2024 y el Programa Sectorial de Salud 2020-2024, que buscan garantizar atención médica gratuita a quienes no cuentan con seguridad social, priorizando a grupos vulnerables.</w:t>
      </w:r>
    </w:p>
    <w:p w:rsidR="0098634D" w:rsidRDefault="0098634D">
      <w:pPr>
        <w:jc w:val="both"/>
        <w:rPr>
          <w:rFonts w:ascii="Arial" w:eastAsia="Arial" w:hAnsi="Arial" w:cs="Arial"/>
          <w:color w:val="000000"/>
          <w:sz w:val="22"/>
          <w:szCs w:val="22"/>
        </w:rPr>
      </w:pP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Más allá del reconocimiento de las enfermedades raras, el acuerdo exhorta a las entidades del Sistema Nacional de Salud a fortalecer la atención primaria, asegurando servicios de calidad para quienes padecen estas enfermedades. También insta a mejorar los mecanismos de información, investigación y capacitación en este ámbito.</w:t>
      </w:r>
    </w:p>
    <w:p w:rsidR="0098634D" w:rsidRDefault="0098634D">
      <w:pPr>
        <w:jc w:val="both"/>
        <w:rPr>
          <w:rFonts w:ascii="Arial" w:eastAsia="Arial" w:hAnsi="Arial" w:cs="Arial"/>
          <w:color w:val="000000"/>
          <w:sz w:val="22"/>
          <w:szCs w:val="22"/>
        </w:rPr>
      </w:pPr>
    </w:p>
    <w:p w:rsidR="0098634D" w:rsidRDefault="00DF5BC3">
      <w:pPr>
        <w:jc w:val="both"/>
        <w:rPr>
          <w:rFonts w:ascii="Arial" w:eastAsia="Arial" w:hAnsi="Arial" w:cs="Arial"/>
          <w:color w:val="000000"/>
          <w:sz w:val="22"/>
          <w:szCs w:val="22"/>
        </w:rPr>
      </w:pPr>
      <w:r>
        <w:rPr>
          <w:rFonts w:ascii="Arial" w:eastAsia="Arial" w:hAnsi="Arial" w:cs="Arial"/>
          <w:color w:val="000000"/>
          <w:sz w:val="22"/>
          <w:szCs w:val="22"/>
        </w:rPr>
        <w:t>Finalmente, el acuerdo establece que la Comisión del Compendio Nacional de Insumos para la Salud dará prioridad a la inclusión de medicamentos huérfanos y tecnologías innovadoras para optimizar la atención médica. Asimismo, las entidades de salud definirán los medicamentos y otros insumos esenciales para garantizar servicios adecuados a la población.</w:t>
      </w:r>
    </w:p>
    <w:p w:rsidR="0098634D" w:rsidRDefault="0098634D">
      <w:pPr>
        <w:jc w:val="both"/>
        <w:rPr>
          <w:rFonts w:ascii="Arial" w:eastAsia="Arial" w:hAnsi="Arial" w:cs="Arial"/>
          <w:color w:val="000000"/>
          <w:sz w:val="22"/>
          <w:szCs w:val="22"/>
        </w:rPr>
      </w:pPr>
    </w:p>
    <w:p w:rsidR="0098634D" w:rsidRDefault="0098634D">
      <w:pPr>
        <w:jc w:val="both"/>
        <w:rPr>
          <w:rFonts w:ascii="Arial" w:eastAsia="Arial" w:hAnsi="Arial" w:cs="Arial"/>
          <w:color w:val="000000"/>
          <w:sz w:val="22"/>
          <w:szCs w:val="22"/>
        </w:rPr>
      </w:pPr>
    </w:p>
    <w:p w:rsidR="0098634D" w:rsidRDefault="00DF5BC3">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Marco normativo de la protección del derecho a la salud de los niños, niñas y adolescentes</w:t>
      </w: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before="240" w:line="276" w:lineRule="auto"/>
        <w:jc w:val="both"/>
        <w:rPr>
          <w:rFonts w:ascii="Arial" w:eastAsia="Arial" w:hAnsi="Arial" w:cs="Arial"/>
          <w:sz w:val="22"/>
          <w:szCs w:val="22"/>
        </w:rPr>
      </w:pPr>
      <w:r>
        <w:rPr>
          <w:rFonts w:ascii="Arial" w:eastAsia="Arial" w:hAnsi="Arial" w:cs="Arial"/>
          <w:sz w:val="22"/>
          <w:szCs w:val="22"/>
        </w:rPr>
        <w:t>En el desarrollo de esta ponencia, resulta fundamental destacar el marco normativo a nivel constitucional, legal y distrital que protege los derechos de los niños, niñas y adolescentes con enfermedades huérfanas. Exaltar la memoria de Jessica Liliana Ramírez Gaviria implica reconocer que el Estado incumplió su deber de garantizar sus derechos fundamentales, no solo como paciente con una enfermedad huérfana, sino también como menor de edad y sujeto de especial protección constitucional. A lo largo de su vida, Jessica enfrentó las limitaciones de un sistema de salud que no le aseguró el acceso oportuno y adecuado a los servicios que requería, lo que pone en evidencia la necesidad de fortalecer la aplicación efectiva de las normas que protegen a esta población vulnerable, tanto en el ámbito nacional como en el distrital.</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rsidR="0098634D" w:rsidRDefault="00DF5BC3">
      <w:pPr>
        <w:numPr>
          <w:ilvl w:val="2"/>
          <w:numId w:val="1"/>
        </w:numPr>
        <w:pBdr>
          <w:top w:val="none" w:sz="0" w:space="0" w:color="000000"/>
          <w:left w:val="none" w:sz="0" w:space="0" w:color="000000"/>
          <w:bottom w:val="none" w:sz="0" w:space="0" w:color="000000"/>
          <w:right w:val="none" w:sz="0" w:space="0" w:color="000000"/>
          <w:between w:val="none" w:sz="0" w:space="0" w:color="000000"/>
        </w:pBdr>
        <w:spacing w:after="160" w:line="276" w:lineRule="auto"/>
        <w:jc w:val="both"/>
        <w:rPr>
          <w:rFonts w:ascii="Arial" w:eastAsia="Arial" w:hAnsi="Arial" w:cs="Arial"/>
          <w:b/>
          <w:color w:val="000000"/>
          <w:sz w:val="22"/>
          <w:szCs w:val="22"/>
        </w:rPr>
      </w:pPr>
      <w:r>
        <w:rPr>
          <w:rFonts w:ascii="Arial" w:eastAsia="Arial" w:hAnsi="Arial" w:cs="Arial"/>
          <w:b/>
          <w:color w:val="000000"/>
          <w:sz w:val="22"/>
          <w:szCs w:val="22"/>
        </w:rPr>
        <w:t>Bloque de convencionalidad:</w:t>
      </w: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lastRenderedPageBreak/>
        <w:t xml:space="preserve">La Convención de los Derechos del Niño, ratificada por Colombia mediante la Ley 12 de 1991, establece en su artículo 24 que Los Estados Partes </w:t>
      </w:r>
      <w:r>
        <w:rPr>
          <w:rFonts w:ascii="Arial" w:eastAsia="Arial" w:hAnsi="Arial" w:cs="Arial"/>
          <w:i/>
          <w:sz w:val="22"/>
          <w:szCs w:val="22"/>
        </w:rPr>
        <w:t xml:space="preserve">“reconocen el derecho del niño al disfrute del más alto nivel posible de salud y a servicios para el tratamiento de las enfermedades y la rehabilitación de la salud”. </w:t>
      </w:r>
      <w:r>
        <w:rPr>
          <w:rFonts w:ascii="Arial" w:eastAsia="Arial" w:hAnsi="Arial" w:cs="Arial"/>
          <w:sz w:val="22"/>
          <w:szCs w:val="22"/>
        </w:rPr>
        <w:t xml:space="preserve">Según este artículo, es deber de los Estados Partes asegurar que ningún niño sea privado de su derecho a la salud o al disfrute de los servicios sanitarios, adicionalmente deben garantizar la prestación de la asistencia médica necesaria, haciendo énfasis en la atención primaria en salud.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r>
        <w:rPr>
          <w:rFonts w:ascii="Arial" w:eastAsia="Arial" w:hAnsi="Arial" w:cs="Arial"/>
          <w:sz w:val="22"/>
          <w:szCs w:val="22"/>
        </w:rPr>
        <w:t xml:space="preserve">En adición, la Convención Americana sobre Derechos Humanos (Pacto de San José), ratificada mediante la Ley 16 de 1972, en su artículo 19, establece que </w:t>
      </w:r>
      <w:r>
        <w:rPr>
          <w:rFonts w:ascii="Arial" w:eastAsia="Arial" w:hAnsi="Arial" w:cs="Arial"/>
          <w:i/>
          <w:sz w:val="22"/>
          <w:szCs w:val="22"/>
        </w:rPr>
        <w:t xml:space="preserve">“todo niño tiene derecho a las medidas de protección que su condición de menor requieren por parte de su familia, de la sociedad y del Estado”.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p>
    <w:p w:rsidR="0098634D" w:rsidRDefault="00DF5BC3">
      <w:pPr>
        <w:numPr>
          <w:ilvl w:val="2"/>
          <w:numId w:val="1"/>
        </w:numPr>
        <w:pBdr>
          <w:top w:val="none" w:sz="0" w:space="0" w:color="000000"/>
          <w:left w:val="none" w:sz="0" w:space="0" w:color="000000"/>
          <w:bottom w:val="none" w:sz="0" w:space="0" w:color="000000"/>
          <w:right w:val="none" w:sz="0" w:space="0" w:color="000000"/>
          <w:between w:val="none" w:sz="0" w:space="0" w:color="000000"/>
        </w:pBdr>
        <w:spacing w:after="160" w:line="276" w:lineRule="auto"/>
        <w:jc w:val="both"/>
        <w:rPr>
          <w:rFonts w:ascii="Arial" w:eastAsia="Arial" w:hAnsi="Arial" w:cs="Arial"/>
          <w:b/>
          <w:color w:val="000000"/>
          <w:sz w:val="22"/>
          <w:szCs w:val="22"/>
        </w:rPr>
      </w:pPr>
      <w:r>
        <w:rPr>
          <w:rFonts w:ascii="Arial" w:eastAsia="Arial" w:hAnsi="Arial" w:cs="Arial"/>
          <w:b/>
          <w:color w:val="000000"/>
          <w:sz w:val="22"/>
          <w:szCs w:val="22"/>
        </w:rPr>
        <w:t>Normas constitucionales:</w:t>
      </w: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El artículo 44 de la Constitución reconoce los derechos fundamentales de los niños, entre ellos el derecho a la vida, a la integridad física, a la salud, a la alimentación equilibrada, a la educación, a la cultura, a la recreación y a la vivienda. Protegiendo a los niños en contra de toda forma de abandono, violencia y explotación o abuso.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Adicionalmente, de este artículo se desprende el principio del interés superior del menor y la obligación del Estado, la familia y la sociedad de garantizar sus derechos. Estableciendo que los derechos de los niños tienen prevalencia sobre los de los demás.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numPr>
          <w:ilvl w:val="2"/>
          <w:numId w:val="1"/>
        </w:numPr>
        <w:pBdr>
          <w:top w:val="none" w:sz="0" w:space="0" w:color="000000"/>
          <w:left w:val="none" w:sz="0" w:space="0" w:color="000000"/>
          <w:bottom w:val="none" w:sz="0" w:space="0" w:color="000000"/>
          <w:right w:val="none" w:sz="0" w:space="0" w:color="000000"/>
          <w:between w:val="none" w:sz="0" w:space="0" w:color="000000"/>
        </w:pBdr>
        <w:spacing w:after="160" w:line="276" w:lineRule="auto"/>
        <w:jc w:val="both"/>
        <w:rPr>
          <w:rFonts w:ascii="Arial" w:eastAsia="Arial" w:hAnsi="Arial" w:cs="Arial"/>
          <w:b/>
          <w:color w:val="000000"/>
          <w:sz w:val="22"/>
          <w:szCs w:val="22"/>
        </w:rPr>
      </w:pPr>
      <w:r>
        <w:rPr>
          <w:rFonts w:ascii="Arial" w:eastAsia="Arial" w:hAnsi="Arial" w:cs="Arial"/>
          <w:b/>
          <w:color w:val="000000"/>
          <w:sz w:val="22"/>
          <w:szCs w:val="22"/>
        </w:rPr>
        <w:t>Leyes:</w:t>
      </w: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La Ley 1098 de 2006 más conocida como Código de la Infancia y Adolescencia, protege los derechos de los niños como sujetos de especial protección. Estableciendo normas como el artículo 17 que consagra que la calidad de vida es esencial para el desarrollo integral de los niños acorde con la dignidad humana. Este derecho incluye el acceso a los servicios de salud.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rsidR="0098634D" w:rsidRDefault="00DF5BC3">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 xml:space="preserve">Avances jurisprudenciales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En el desarrollo de esta ponencia, resulta fundamental destacar las decisiones de la Corte Constitucional relacionadas con las enfermedades huérfanas en niños, niñas y adolescentes. Por las mismas razones que se complementó el marco normativo con las normas que protegen a los niños, niñas y adolescentes.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 xml:space="preserve">Sentencia T-413 de 2020: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ind w:left="1080"/>
        <w:jc w:val="both"/>
        <w:rPr>
          <w:rFonts w:ascii="Arial" w:eastAsia="Arial" w:hAnsi="Arial" w:cs="Arial"/>
          <w:b/>
          <w:color w:val="000000"/>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r>
        <w:rPr>
          <w:rFonts w:ascii="Arial" w:eastAsia="Arial" w:hAnsi="Arial" w:cs="Arial"/>
          <w:sz w:val="22"/>
          <w:szCs w:val="22"/>
        </w:rPr>
        <w:lastRenderedPageBreak/>
        <w:t>La Corte Constitucional, en cumplimiento de su función de garantizar la supremacía y la integridad de la Constitución Política, ha emitido múltiples pronunciamientos sobre la protección de las personas con enfermedades huérfanas, especialmente a través de sentencias de tutela, en las cuales ha reafirmado su compromiso con la defensa de sus derechos fundamentales.</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En la Sentencia T-413 de 2020, se centró en la protección del Derecho a la Salud de Niños, Niñas y Adolescentes con enfermedades huérfanas como sujetos de especial protección constitucional. La Corte hace referencia a los artículos 49 y 44 de la Constitución Política de Colombia, los cuales disponen respectivamente que la atención en salud es un servicio público y un derecho que debe garantizar el Estado y que la vida, la integridad física, la salud y la seguridad social son derechos fundamentales de los niños, que tienen prevalencia frente a los demás. Estas disposiciones constitucionales se alinean co la Convención sobre los Derechos del Niño.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La sentencia menciona que la jurisprudencia de la Corporación ha establecido, en diversas ocasiones </w:t>
      </w:r>
      <w:r>
        <w:rPr>
          <w:rFonts w:ascii="Arial" w:eastAsia="Arial" w:hAnsi="Arial" w:cs="Arial"/>
          <w:i/>
          <w:sz w:val="22"/>
          <w:szCs w:val="22"/>
        </w:rPr>
        <w:t xml:space="preserve">“el carácter fundamental del derecho a la salud de los niños pues este contiene un núcleo esencial con aplicación inmediata independiente del estado de su desarrollo legislativo”. </w:t>
      </w:r>
      <w:r>
        <w:rPr>
          <w:rFonts w:ascii="Arial" w:eastAsia="Arial" w:hAnsi="Arial" w:cs="Arial"/>
          <w:sz w:val="22"/>
          <w:szCs w:val="22"/>
        </w:rPr>
        <w:t>En la sentencia de unificación SU-225 de 1998 estableció que:</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ind w:left="283"/>
        <w:jc w:val="both"/>
        <w:rPr>
          <w:rFonts w:ascii="Arial" w:eastAsia="Arial" w:hAnsi="Arial" w:cs="Arial"/>
          <w:sz w:val="22"/>
          <w:szCs w:val="22"/>
        </w:rPr>
      </w:pPr>
      <w:r>
        <w:rPr>
          <w:rFonts w:ascii="Arial" w:eastAsia="Arial" w:hAnsi="Arial" w:cs="Arial"/>
          <w:i/>
          <w:sz w:val="22"/>
          <w:szCs w:val="22"/>
        </w:rPr>
        <w:t xml:space="preserve">“Del artículo 44 se deriva claramente que, la Constitución, respetuosa del principio democrático, no permite, sin embargo, que la satisfacción de las necesidades básicas de los niños quede, integralmente, sometida a las mayorías políticas eventuales. Por esta razón, la mencionada norma dispone que los derechos allí consagrados son derechos fundamentales, vale decir, verdaderos poderes en cabeza de los menores, que pueden ser gestionados en su defensa por cualquier persona, contra las acciones u omisiones de las autoridades públicas y de los particulares. (…) Se trata entonces de derechos que tienen un contenido esencial de aplicación inmediata que limita la discrecionalidad de los órganos políticos y que cuenta con un mecanismo judicial reforzado para su protección: la acción de tutela.” </w:t>
      </w:r>
      <w:r>
        <w:rPr>
          <w:rFonts w:ascii="Arial" w:eastAsia="Arial" w:hAnsi="Arial" w:cs="Arial"/>
          <w:sz w:val="22"/>
          <w:szCs w:val="22"/>
        </w:rPr>
        <w:t xml:space="preserve">(SU-225 de 1998). </w:t>
      </w:r>
    </w:p>
    <w:p w:rsidR="0098634D" w:rsidRDefault="0098634D">
      <w:pPr>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r>
        <w:rPr>
          <w:rFonts w:ascii="Arial" w:eastAsia="Arial" w:hAnsi="Arial" w:cs="Arial"/>
          <w:sz w:val="22"/>
          <w:szCs w:val="22"/>
        </w:rPr>
        <w:t xml:space="preserve">Aunado a lo anterior, la Corte recuerda que debe tenerse en cuenta que se le debe dar un </w:t>
      </w:r>
      <w:r>
        <w:rPr>
          <w:rFonts w:ascii="Arial" w:eastAsia="Arial" w:hAnsi="Arial" w:cs="Arial"/>
          <w:i/>
          <w:sz w:val="22"/>
          <w:szCs w:val="22"/>
        </w:rPr>
        <w:t xml:space="preserve">“trato preferencial a quienes se encuentran en circunstancias de debilidad manifiesta (…)”. </w:t>
      </w:r>
      <w:r>
        <w:rPr>
          <w:rFonts w:ascii="Arial" w:eastAsia="Arial" w:hAnsi="Arial" w:cs="Arial"/>
          <w:sz w:val="22"/>
          <w:szCs w:val="22"/>
        </w:rPr>
        <w:t xml:space="preserve">La Corte expresa que la protección reforzada de los derechos de los niños en estado de debilidad manifiesta se sustenta en dos razones: (i) </w:t>
      </w:r>
      <w:r>
        <w:rPr>
          <w:rFonts w:ascii="Arial" w:eastAsia="Arial" w:hAnsi="Arial" w:cs="Arial"/>
          <w:i/>
          <w:sz w:val="22"/>
          <w:szCs w:val="22"/>
        </w:rPr>
        <w:t xml:space="preserve">“(…) la fragilidad en la que se encuentra[n] frente a un mundo que no conoce[n] y que no está[n] en capacidad de enfrentar por si solo[s]” </w:t>
      </w:r>
      <w:r>
        <w:rPr>
          <w:rFonts w:ascii="Arial" w:eastAsia="Arial" w:hAnsi="Arial" w:cs="Arial"/>
          <w:sz w:val="22"/>
          <w:szCs w:val="22"/>
        </w:rPr>
        <w:t xml:space="preserve">y (ii) </w:t>
      </w:r>
      <w:r>
        <w:rPr>
          <w:rFonts w:ascii="Arial" w:eastAsia="Arial" w:hAnsi="Arial" w:cs="Arial"/>
          <w:i/>
          <w:sz w:val="22"/>
          <w:szCs w:val="22"/>
        </w:rPr>
        <w:t xml:space="preserve">“buscar el efectivo acceso de los niños a los derechos consagrados en la Constitución al garantizar las “condiciones que les permitieran crecer en libertad e igualdad””.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p>
    <w:p w:rsidR="0098634D" w:rsidRDefault="00DF5BC3">
      <w:pPr>
        <w:numPr>
          <w:ilvl w:val="2"/>
          <w:numId w:val="1"/>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 xml:space="preserve">Sentencia T-298 de 2021: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ind w:left="1080"/>
        <w:jc w:val="both"/>
        <w:rPr>
          <w:rFonts w:ascii="Arial" w:eastAsia="Arial" w:hAnsi="Arial" w:cs="Arial"/>
          <w:b/>
          <w:color w:val="000000"/>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Por su parte, en la Sentencia T-298 de 2021, la Corte reitera lo dicho en la Sentencia T-413 de 2020 y añade lo siguiente sobre la Ley Estatutaria 1751 de 2015: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shd w:val="clear" w:color="auto" w:fill="FFFFFF"/>
        <w:ind w:left="720"/>
        <w:jc w:val="both"/>
        <w:rPr>
          <w:rFonts w:ascii="Arial" w:eastAsia="Arial" w:hAnsi="Arial" w:cs="Arial"/>
          <w:i/>
          <w:sz w:val="22"/>
          <w:szCs w:val="22"/>
        </w:rPr>
      </w:pPr>
      <w:r>
        <w:rPr>
          <w:rFonts w:ascii="Arial" w:eastAsia="Arial" w:hAnsi="Arial" w:cs="Arial"/>
          <w:i/>
          <w:sz w:val="22"/>
          <w:szCs w:val="22"/>
        </w:rPr>
        <w:t>“El artículo 6º establece entre los elementos y principios del derecho fundamental a la salud: i) el elemento de disponibilidad señala que el Estado debe garantizar la prestación de servicios, tecnologías e instituciones de salud a todos los usuarios; el elemento de accesibilidad prevé que “[l]os servicios y tecnologías de salud deben ser accesibles a todos, en condiciones de igualdad, dentro del respeto de las especificidades de los diversos grupos vulnerables y al pluralismo cultural”; el principio pro homine obliga a los actores del sistema de salud a interpretar las normas vigentes de la manera más favorable para la protección del derecho a la salud del usuario; el principio de prevalencia de derechos, en virtud del cual le compete al Estado implementar medidas concretas y específicas para garantizar la atención integral a niñas, niños y adolescentes.</w:t>
      </w:r>
    </w:p>
    <w:p w:rsidR="0098634D" w:rsidRDefault="0098634D">
      <w:pPr>
        <w:shd w:val="clear" w:color="auto" w:fill="FFFFFF"/>
        <w:ind w:left="720"/>
        <w:jc w:val="both"/>
        <w:rPr>
          <w:rFonts w:ascii="Arial" w:eastAsia="Arial" w:hAnsi="Arial" w:cs="Arial"/>
          <w:i/>
          <w:sz w:val="22"/>
          <w:szCs w:val="22"/>
        </w:rPr>
      </w:pPr>
    </w:p>
    <w:p w:rsidR="0098634D" w:rsidRDefault="00DF5BC3">
      <w:pPr>
        <w:shd w:val="clear" w:color="auto" w:fill="FFFFFF"/>
        <w:ind w:left="720"/>
        <w:jc w:val="both"/>
        <w:rPr>
          <w:rFonts w:ascii="Arial" w:eastAsia="Arial" w:hAnsi="Arial" w:cs="Arial"/>
          <w:i/>
          <w:sz w:val="22"/>
          <w:szCs w:val="22"/>
        </w:rPr>
      </w:pPr>
      <w:r>
        <w:rPr>
          <w:rFonts w:ascii="Arial" w:eastAsia="Arial" w:hAnsi="Arial" w:cs="Arial"/>
          <w:i/>
          <w:sz w:val="22"/>
          <w:szCs w:val="22"/>
        </w:rPr>
        <w:t>(…)</w:t>
      </w:r>
    </w:p>
    <w:p w:rsidR="0098634D" w:rsidRDefault="0098634D">
      <w:pPr>
        <w:shd w:val="clear" w:color="auto" w:fill="FFFFFF"/>
        <w:ind w:left="720"/>
        <w:jc w:val="both"/>
        <w:rPr>
          <w:rFonts w:ascii="Arial" w:eastAsia="Arial" w:hAnsi="Arial" w:cs="Arial"/>
          <w:i/>
          <w:sz w:val="22"/>
          <w:szCs w:val="22"/>
        </w:rPr>
      </w:pPr>
    </w:p>
    <w:p w:rsidR="0098634D" w:rsidRDefault="00DF5BC3">
      <w:pPr>
        <w:shd w:val="clear" w:color="auto" w:fill="FFFFFF"/>
        <w:ind w:left="720"/>
        <w:jc w:val="both"/>
        <w:rPr>
          <w:rFonts w:ascii="Arial" w:eastAsia="Arial" w:hAnsi="Arial" w:cs="Arial"/>
          <w:i/>
          <w:sz w:val="22"/>
          <w:szCs w:val="22"/>
        </w:rPr>
      </w:pPr>
      <w:r>
        <w:rPr>
          <w:rFonts w:ascii="Arial" w:eastAsia="Arial" w:hAnsi="Arial" w:cs="Arial"/>
          <w:i/>
          <w:sz w:val="22"/>
          <w:szCs w:val="22"/>
        </w:rPr>
        <w:t>El artículo 11 reitera la atención prioritaria en salud que deben tener los niños, niñas y adolescentes y, además, los define como sujetos de especial protección junto con las personas que padecen enfermedades huérfanas, entre otros grupos de personas cuya atención no podrá ser “limitada por ningún tipo de restricción administrativa o económica”.”</w:t>
      </w:r>
    </w:p>
    <w:p w:rsidR="0098634D" w:rsidRDefault="0098634D">
      <w:pPr>
        <w:shd w:val="clear" w:color="auto" w:fill="FFFFFF"/>
        <w:ind w:left="720"/>
        <w:jc w:val="both"/>
        <w:rPr>
          <w:rFonts w:ascii="Arial" w:eastAsia="Arial" w:hAnsi="Arial" w:cs="Arial"/>
          <w:i/>
          <w:sz w:val="22"/>
          <w:szCs w:val="22"/>
        </w:rPr>
      </w:pPr>
    </w:p>
    <w:p w:rsidR="0098634D" w:rsidRDefault="00DF5BC3">
      <w:pPr>
        <w:shd w:val="clear" w:color="auto" w:fill="FFFFFF"/>
        <w:jc w:val="both"/>
        <w:rPr>
          <w:rFonts w:ascii="Arial" w:eastAsia="Arial" w:hAnsi="Arial" w:cs="Arial"/>
          <w:sz w:val="22"/>
          <w:szCs w:val="22"/>
        </w:rPr>
      </w:pPr>
      <w:r>
        <w:rPr>
          <w:rFonts w:ascii="Arial" w:eastAsia="Arial" w:hAnsi="Arial" w:cs="Arial"/>
          <w:sz w:val="22"/>
          <w:szCs w:val="22"/>
        </w:rPr>
        <w:t xml:space="preserve">Llegando a la conclusión que el derecho a la salud en el caso de niños, niñas y adolescentes es preferente y el Estado mediante medidas concretas y específicas debe garantizar su atención integral. De igual forma, el derecho a la salud de los pacientes con enfermedades huérfanas reviste una protección prevalente. </w:t>
      </w:r>
    </w:p>
    <w:p w:rsidR="0098634D" w:rsidRDefault="0098634D">
      <w:pPr>
        <w:shd w:val="clear" w:color="auto" w:fill="FFFFFF"/>
        <w:jc w:val="both"/>
        <w:rPr>
          <w:rFonts w:ascii="Arial" w:eastAsia="Arial" w:hAnsi="Arial" w:cs="Arial"/>
          <w:sz w:val="22"/>
          <w:szCs w:val="22"/>
        </w:rPr>
      </w:pP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rsidR="0098634D" w:rsidRDefault="00DF5BC3">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t>Gestión del Ministerio de Salud y Protección Social</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El Ministerio de Salud y Protección Social (MSPS) ha desarrollado diversas estrategias para mejorar la atención de las enfermedades huérfanas en Colombia, enfocándose en la gestión integral del riesgo, la organización de la atención, la inclusión social, el desarrollo del conocimiento y la sostenibilidad financiera del sistema de salud.</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numPr>
          <w:ilvl w:val="2"/>
          <w:numId w:val="1"/>
        </w:numPr>
        <w:pBdr>
          <w:top w:val="none" w:sz="0" w:space="0" w:color="000000"/>
          <w:left w:val="none" w:sz="0" w:space="0" w:color="000000"/>
          <w:bottom w:val="none" w:sz="0" w:space="0" w:color="000000"/>
          <w:right w:val="none" w:sz="0" w:space="0" w:color="000000"/>
          <w:between w:val="none" w:sz="0" w:space="0" w:color="000000"/>
        </w:pBdr>
        <w:spacing w:after="160" w:line="276" w:lineRule="auto"/>
        <w:jc w:val="both"/>
        <w:rPr>
          <w:rFonts w:ascii="Arial" w:eastAsia="Arial" w:hAnsi="Arial" w:cs="Arial"/>
          <w:b/>
          <w:color w:val="000000"/>
          <w:sz w:val="22"/>
          <w:szCs w:val="22"/>
        </w:rPr>
      </w:pPr>
      <w:r>
        <w:rPr>
          <w:rFonts w:ascii="Arial" w:eastAsia="Arial" w:hAnsi="Arial" w:cs="Arial"/>
          <w:b/>
          <w:color w:val="000000"/>
          <w:sz w:val="22"/>
          <w:szCs w:val="22"/>
        </w:rPr>
        <w:t>Plan Nacional de Gestión para las Enfermedades Huérfanas/Raras (2024):</w:t>
      </w: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Este plan establece una hoja de ruta para garantizar la atención integral de los pacientes con enfermedades huérfanas, priorizando la prevención, la detección temprana y el acceso a tratamientos adecuados. Contempla cinco líneas estratégicas:</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numPr>
          <w:ilvl w:val="1"/>
          <w:numId w:val="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color w:val="000000"/>
          <w:sz w:val="22"/>
          <w:szCs w:val="22"/>
        </w:rPr>
      </w:pPr>
      <w:r>
        <w:rPr>
          <w:rFonts w:ascii="Arial" w:eastAsia="Arial" w:hAnsi="Arial" w:cs="Arial"/>
          <w:color w:val="000000"/>
          <w:sz w:val="22"/>
          <w:szCs w:val="22"/>
        </w:rPr>
        <w:lastRenderedPageBreak/>
        <w:t>Fortalecer la identificación, prevención y diagnóstico temprano mediante la capacitación del talento humano en salud y la implementación de programas de tamizaje neonatal.</w:t>
      </w:r>
    </w:p>
    <w:p w:rsidR="0098634D" w:rsidRDefault="00DF5BC3">
      <w:pPr>
        <w:numPr>
          <w:ilvl w:val="1"/>
          <w:numId w:val="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color w:val="000000"/>
          <w:sz w:val="22"/>
          <w:szCs w:val="22"/>
        </w:rPr>
      </w:pPr>
      <w:r>
        <w:rPr>
          <w:rFonts w:ascii="Arial" w:eastAsia="Arial" w:hAnsi="Arial" w:cs="Arial"/>
          <w:color w:val="000000"/>
          <w:sz w:val="22"/>
          <w:szCs w:val="22"/>
        </w:rPr>
        <w:t>Consolidar redes de atención especializada, fortalecer los centros de referencia y garantizar el acceso a medicamentos esenciales.</w:t>
      </w:r>
    </w:p>
    <w:p w:rsidR="0098634D" w:rsidRDefault="00DF5BC3">
      <w:pPr>
        <w:numPr>
          <w:ilvl w:val="1"/>
          <w:numId w:val="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color w:val="000000"/>
          <w:sz w:val="22"/>
          <w:szCs w:val="22"/>
        </w:rPr>
      </w:pPr>
      <w:r>
        <w:rPr>
          <w:rFonts w:ascii="Arial" w:eastAsia="Arial" w:hAnsi="Arial" w:cs="Arial"/>
          <w:color w:val="000000"/>
          <w:sz w:val="22"/>
          <w:szCs w:val="22"/>
        </w:rPr>
        <w:t>Promover la protección de los derechos de los pacientes, la certificación de discapacidad y la articulación con otras entidades para mejorar su calidad de vida.</w:t>
      </w:r>
    </w:p>
    <w:p w:rsidR="0098634D" w:rsidRDefault="00DF5BC3">
      <w:pPr>
        <w:numPr>
          <w:ilvl w:val="1"/>
          <w:numId w:val="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color w:val="000000"/>
          <w:sz w:val="22"/>
          <w:szCs w:val="22"/>
        </w:rPr>
      </w:pPr>
      <w:r>
        <w:rPr>
          <w:rFonts w:ascii="Arial" w:eastAsia="Arial" w:hAnsi="Arial" w:cs="Arial"/>
          <w:color w:val="000000"/>
          <w:sz w:val="22"/>
          <w:szCs w:val="22"/>
        </w:rPr>
        <w:t>Optimizar el Registro Nacional de Pacientes con Enfermedades Huérfanas, fomentar la investigación y mejorar la recopilación de datos epidemiológicos.</w:t>
      </w:r>
    </w:p>
    <w:p w:rsidR="0098634D" w:rsidRDefault="00DF5BC3">
      <w:pPr>
        <w:numPr>
          <w:ilvl w:val="1"/>
          <w:numId w:val="5"/>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color w:val="000000"/>
          <w:sz w:val="22"/>
          <w:szCs w:val="22"/>
        </w:rPr>
      </w:pPr>
      <w:r>
        <w:rPr>
          <w:rFonts w:ascii="Arial" w:eastAsia="Arial" w:hAnsi="Arial" w:cs="Arial"/>
          <w:color w:val="000000"/>
          <w:sz w:val="22"/>
          <w:szCs w:val="22"/>
        </w:rPr>
        <w:t>Implementar estrategias para garantizar la financiación de tratamientos y tecnologías en salud, manteniendo la viabilidad económica del Sistema General de Seguridad Social en Salud (SGSSS).</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ind w:left="1800"/>
        <w:jc w:val="both"/>
        <w:rPr>
          <w:rFonts w:ascii="Arial" w:eastAsia="Arial" w:hAnsi="Arial" w:cs="Arial"/>
          <w:color w:val="000000"/>
          <w:sz w:val="22"/>
          <w:szCs w:val="22"/>
        </w:rPr>
      </w:pPr>
    </w:p>
    <w:p w:rsidR="0098634D" w:rsidRDefault="00DF5BC3">
      <w:pPr>
        <w:numPr>
          <w:ilvl w:val="2"/>
          <w:numId w:val="1"/>
        </w:numPr>
        <w:pBdr>
          <w:top w:val="none" w:sz="0" w:space="0" w:color="000000"/>
          <w:left w:val="none" w:sz="0" w:space="0" w:color="000000"/>
          <w:bottom w:val="none" w:sz="0" w:space="0" w:color="000000"/>
          <w:right w:val="none" w:sz="0" w:space="0" w:color="000000"/>
          <w:between w:val="none" w:sz="0" w:space="0" w:color="000000"/>
        </w:pBdr>
        <w:spacing w:after="160" w:line="276" w:lineRule="auto"/>
        <w:jc w:val="both"/>
        <w:rPr>
          <w:rFonts w:ascii="Arial" w:eastAsia="Arial" w:hAnsi="Arial" w:cs="Arial"/>
          <w:b/>
          <w:color w:val="000000"/>
          <w:sz w:val="22"/>
          <w:szCs w:val="22"/>
        </w:rPr>
      </w:pPr>
      <w:r>
        <w:rPr>
          <w:rFonts w:ascii="Arial" w:eastAsia="Arial" w:hAnsi="Arial" w:cs="Arial"/>
          <w:b/>
          <w:color w:val="000000"/>
          <w:sz w:val="22"/>
          <w:szCs w:val="22"/>
        </w:rPr>
        <w:t>Protocolo de Vigilancia en Salud Pública de Enfermedades Huérfanas (2024)</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Este protocolo, liderado por el Instituto Nacional de Salud (INS), define los lineamientos para la recolección y análisis de información sobre enfermedades huérfanas en el país, con el fin de mejorar su identificación y seguimiento. Entre sus principales acciones se destacan:</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color w:val="000000"/>
          <w:sz w:val="22"/>
          <w:szCs w:val="22"/>
        </w:rPr>
      </w:pPr>
      <w:r>
        <w:rPr>
          <w:rFonts w:ascii="Arial" w:eastAsia="Arial" w:hAnsi="Arial" w:cs="Arial"/>
          <w:color w:val="000000"/>
          <w:sz w:val="22"/>
          <w:szCs w:val="22"/>
        </w:rPr>
        <w:t>La administración y actualización del Registro Nacional de Pacientes con Enfermedades Huérfanas, que permite conocer la prevalencia y distribución geográfica de estas enfermedades.</w:t>
      </w:r>
    </w:p>
    <w:p w:rsidR="0098634D" w:rsidRDefault="00DF5BC3">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color w:val="000000"/>
          <w:sz w:val="22"/>
          <w:szCs w:val="22"/>
        </w:rPr>
      </w:pPr>
      <w:r>
        <w:rPr>
          <w:rFonts w:ascii="Arial" w:eastAsia="Arial" w:hAnsi="Arial" w:cs="Arial"/>
          <w:color w:val="000000"/>
          <w:sz w:val="22"/>
          <w:szCs w:val="22"/>
        </w:rPr>
        <w:t>La notificación obligatoria de nuevos casos a través del Sistema de Vigilancia en Salud Pública (SIVIGILA), garantizando un monitoreo más preciso.</w:t>
      </w:r>
    </w:p>
    <w:p w:rsidR="0098634D" w:rsidRDefault="00DF5BC3">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color w:val="000000"/>
          <w:sz w:val="22"/>
          <w:szCs w:val="22"/>
        </w:rPr>
      </w:pPr>
      <w:r>
        <w:rPr>
          <w:rFonts w:ascii="Arial" w:eastAsia="Arial" w:hAnsi="Arial" w:cs="Arial"/>
          <w:color w:val="000000"/>
          <w:sz w:val="22"/>
          <w:szCs w:val="22"/>
        </w:rPr>
        <w:t>La articulación entre el Ministerio de Salud, el INS y las secretarías de salud departamentales y municipales para mejorar la recolección y análisis de datos.</w:t>
      </w:r>
    </w:p>
    <w:p w:rsidR="0098634D" w:rsidRDefault="00DF5BC3">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160" w:line="276" w:lineRule="auto"/>
        <w:jc w:val="both"/>
        <w:rPr>
          <w:rFonts w:ascii="Arial" w:eastAsia="Arial" w:hAnsi="Arial" w:cs="Arial"/>
          <w:color w:val="000000"/>
          <w:sz w:val="22"/>
          <w:szCs w:val="22"/>
        </w:rPr>
      </w:pPr>
      <w:r>
        <w:rPr>
          <w:rFonts w:ascii="Arial" w:eastAsia="Arial" w:hAnsi="Arial" w:cs="Arial"/>
          <w:color w:val="000000"/>
          <w:sz w:val="22"/>
          <w:szCs w:val="22"/>
        </w:rPr>
        <w:t>La promoción de la investigación y la capacitación del personal de salud para el diagnóstico y tratamiento de estas patologías.</w:t>
      </w: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La gestión del Ministerio de Salud en materia de enfermedades huérfanas ha avanzado significativamente con la implementación de planes estratégicos y protocolos de vigilancia. Sin embargo, persisten desafíos en la consolidación de redes de atención, la financiación sostenible de tratamientos y la reducción de barreras en el acceso a la salud. Es fundamental fortalecer la articulación entre las entidades del sector, promover la investigación y garantizar la aplicación efectiva de las políticas públicas para mejorar la calidad de vida de los pacientes y sus familias.</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rsidR="0098634D" w:rsidRDefault="00DF5BC3">
      <w:pPr>
        <w:numPr>
          <w:ilvl w:val="1"/>
          <w:numId w:val="1"/>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color w:val="000000"/>
          <w:sz w:val="22"/>
          <w:szCs w:val="22"/>
        </w:rPr>
      </w:pPr>
      <w:r>
        <w:rPr>
          <w:rFonts w:ascii="Arial" w:eastAsia="Arial" w:hAnsi="Arial" w:cs="Arial"/>
          <w:b/>
          <w:color w:val="000000"/>
          <w:sz w:val="22"/>
          <w:szCs w:val="22"/>
        </w:rPr>
        <w:lastRenderedPageBreak/>
        <w:t xml:space="preserve">Regulación actual de enfermedades huérfanas en Bogotá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A manera de contexto, es importante tomar en consideración que según SaluData Observatorio de Salud de Bogotá, en 2023, se notificaron un total de 13.714 casos nuevos de enfermedades huérfanas. Dicho lo anterior, las personas que han reportado casos nuevos de enfermedades huérfanas representan el 0.171% de la población Bogotá. Un porcentaje que, aunque pequeño, de acuerdo con la legislación nacional, está sujeto a protección especial debido a la situación de debilidad manifiesta que padecen estas personas.</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En este contexto, es relevante destacar que, en 2013, el Concejo de Bogotá expidió el Acuerdo 537, a través del cual se ordena la implementación de una estrategia para fomentar la detección temprana, el seguimiento, la rehabilitación y la vigilancia de las personas afectadas por enfermedades huérfanas en el Distrito Capital. Este acuerdo fue promulgado en un momento en que el legislador colombiano había regulado recientemente el acceso a la salud y el tratamiento de estas enfermedades en las leyes previamente mencionadas. </w:t>
      </w: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En este sentido, el objeto del Acuerdo fue implementar una estrategia sobre la promoción de la detección temprana, seguimiento, rehabilitación y vigilancia a las personas afectadas por enfermedades huérfanas, bajo la coordinación de la Secretaría de Salud. Para lograr este objetivo se planearon los siguientes lineamientos: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shd w:val="clear" w:color="auto" w:fill="FFFFFF"/>
        <w:ind w:left="568" w:hanging="284"/>
        <w:jc w:val="both"/>
        <w:rPr>
          <w:rFonts w:ascii="Arial" w:eastAsia="Arial" w:hAnsi="Arial" w:cs="Arial"/>
          <w:i/>
          <w:sz w:val="22"/>
          <w:szCs w:val="22"/>
        </w:rPr>
      </w:pPr>
      <w:r>
        <w:rPr>
          <w:rFonts w:ascii="Arial" w:eastAsia="Arial" w:hAnsi="Arial" w:cs="Arial"/>
          <w:i/>
          <w:sz w:val="22"/>
          <w:szCs w:val="22"/>
        </w:rPr>
        <w:t>a)  Diseño y ejecución intersectorial de la estrategia que genere sensibilidad, conciencia e inclusión social de la detección temprana y tratamiento de las enfermedades huérfanas.</w:t>
      </w:r>
    </w:p>
    <w:p w:rsidR="0098634D" w:rsidRDefault="00DF5BC3">
      <w:pPr>
        <w:shd w:val="clear" w:color="auto" w:fill="FFFFFF"/>
        <w:ind w:left="568"/>
        <w:jc w:val="both"/>
        <w:rPr>
          <w:rFonts w:ascii="Arial" w:eastAsia="Arial" w:hAnsi="Arial" w:cs="Arial"/>
          <w:i/>
          <w:sz w:val="22"/>
          <w:szCs w:val="22"/>
        </w:rPr>
      </w:pPr>
      <w:r>
        <w:rPr>
          <w:rFonts w:ascii="Arial" w:eastAsia="Arial" w:hAnsi="Arial" w:cs="Arial"/>
          <w:i/>
          <w:sz w:val="22"/>
          <w:szCs w:val="22"/>
        </w:rPr>
        <w:t> </w:t>
      </w:r>
    </w:p>
    <w:p w:rsidR="0098634D" w:rsidRDefault="00DF5BC3">
      <w:pPr>
        <w:shd w:val="clear" w:color="auto" w:fill="FFFFFF"/>
        <w:ind w:left="568" w:hanging="284"/>
        <w:jc w:val="both"/>
        <w:rPr>
          <w:rFonts w:ascii="Arial" w:eastAsia="Arial" w:hAnsi="Arial" w:cs="Arial"/>
          <w:i/>
          <w:sz w:val="22"/>
          <w:szCs w:val="22"/>
        </w:rPr>
      </w:pPr>
      <w:r>
        <w:rPr>
          <w:rFonts w:ascii="Arial" w:eastAsia="Arial" w:hAnsi="Arial" w:cs="Arial"/>
          <w:i/>
          <w:sz w:val="22"/>
          <w:szCs w:val="22"/>
        </w:rPr>
        <w:t>b)  Promoción del desarrollo de la investigación en procura de estudiar las enfermedades huérfanas, buscando la posibilidad de diagnósticos tempranos en pro de una mejor calidad y expectativa de vida.</w:t>
      </w:r>
    </w:p>
    <w:p w:rsidR="0098634D" w:rsidRDefault="00DF5BC3">
      <w:pPr>
        <w:shd w:val="clear" w:color="auto" w:fill="FFFFFF"/>
        <w:ind w:left="284"/>
        <w:jc w:val="both"/>
        <w:rPr>
          <w:rFonts w:ascii="Arial" w:eastAsia="Arial" w:hAnsi="Arial" w:cs="Arial"/>
          <w:i/>
          <w:sz w:val="22"/>
          <w:szCs w:val="22"/>
        </w:rPr>
      </w:pPr>
      <w:r>
        <w:rPr>
          <w:rFonts w:ascii="Arial" w:eastAsia="Arial" w:hAnsi="Arial" w:cs="Arial"/>
          <w:i/>
          <w:sz w:val="22"/>
          <w:szCs w:val="22"/>
        </w:rPr>
        <w:t> </w:t>
      </w:r>
    </w:p>
    <w:p w:rsidR="0098634D" w:rsidRDefault="00DF5BC3">
      <w:pPr>
        <w:shd w:val="clear" w:color="auto" w:fill="FFFFFF"/>
        <w:ind w:left="568" w:hanging="284"/>
        <w:rPr>
          <w:rFonts w:ascii="Arial" w:eastAsia="Arial" w:hAnsi="Arial" w:cs="Arial"/>
          <w:i/>
          <w:sz w:val="22"/>
          <w:szCs w:val="22"/>
        </w:rPr>
      </w:pPr>
      <w:r>
        <w:rPr>
          <w:rFonts w:ascii="Arial" w:eastAsia="Arial" w:hAnsi="Arial" w:cs="Arial"/>
          <w:i/>
          <w:sz w:val="22"/>
          <w:szCs w:val="22"/>
        </w:rPr>
        <w:t>c)  Capacitación y divulgación del conocimiento de las enfermedades huérfanas a los trabajadores de la salud.</w:t>
      </w:r>
    </w:p>
    <w:p w:rsidR="0098634D" w:rsidRDefault="00DF5BC3">
      <w:pPr>
        <w:shd w:val="clear" w:color="auto" w:fill="FFFFFF"/>
        <w:ind w:left="284"/>
        <w:rPr>
          <w:rFonts w:ascii="Arial" w:eastAsia="Arial" w:hAnsi="Arial" w:cs="Arial"/>
          <w:i/>
          <w:sz w:val="22"/>
          <w:szCs w:val="22"/>
        </w:rPr>
      </w:pPr>
      <w:r>
        <w:rPr>
          <w:rFonts w:ascii="Arial" w:eastAsia="Arial" w:hAnsi="Arial" w:cs="Arial"/>
          <w:i/>
          <w:sz w:val="22"/>
          <w:szCs w:val="22"/>
        </w:rPr>
        <w:t> </w:t>
      </w:r>
    </w:p>
    <w:p w:rsidR="0098634D" w:rsidRDefault="00DF5BC3">
      <w:pPr>
        <w:shd w:val="clear" w:color="auto" w:fill="FFFFFF"/>
        <w:ind w:left="568" w:hanging="284"/>
        <w:jc w:val="both"/>
        <w:rPr>
          <w:rFonts w:ascii="Arial" w:eastAsia="Arial" w:hAnsi="Arial" w:cs="Arial"/>
          <w:i/>
          <w:sz w:val="22"/>
          <w:szCs w:val="22"/>
        </w:rPr>
      </w:pPr>
      <w:r>
        <w:rPr>
          <w:rFonts w:ascii="Arial" w:eastAsia="Arial" w:hAnsi="Arial" w:cs="Arial"/>
          <w:i/>
          <w:sz w:val="22"/>
          <w:szCs w:val="22"/>
        </w:rPr>
        <w:t>d)  Inclusión e integración social de la población de pacientes con enfermedades huérfanas.</w:t>
      </w:r>
    </w:p>
    <w:p w:rsidR="0098634D" w:rsidRDefault="00DF5BC3">
      <w:pPr>
        <w:shd w:val="clear" w:color="auto" w:fill="FFFFFF"/>
        <w:ind w:left="568"/>
        <w:jc w:val="both"/>
        <w:rPr>
          <w:rFonts w:ascii="Arial" w:eastAsia="Arial" w:hAnsi="Arial" w:cs="Arial"/>
          <w:i/>
          <w:sz w:val="22"/>
          <w:szCs w:val="22"/>
        </w:rPr>
      </w:pPr>
      <w:r>
        <w:rPr>
          <w:rFonts w:ascii="Arial" w:eastAsia="Arial" w:hAnsi="Arial" w:cs="Arial"/>
          <w:i/>
          <w:sz w:val="22"/>
          <w:szCs w:val="22"/>
        </w:rPr>
        <w:t> </w:t>
      </w:r>
    </w:p>
    <w:p w:rsidR="0098634D" w:rsidRDefault="00DF5BC3">
      <w:pPr>
        <w:shd w:val="clear" w:color="auto" w:fill="FFFFFF"/>
        <w:ind w:left="568" w:hanging="284"/>
        <w:jc w:val="both"/>
        <w:rPr>
          <w:rFonts w:ascii="Arial" w:eastAsia="Arial" w:hAnsi="Arial" w:cs="Arial"/>
          <w:i/>
          <w:sz w:val="22"/>
          <w:szCs w:val="22"/>
        </w:rPr>
      </w:pPr>
      <w:r>
        <w:rPr>
          <w:rFonts w:ascii="Arial" w:eastAsia="Arial" w:hAnsi="Arial" w:cs="Arial"/>
          <w:i/>
          <w:sz w:val="22"/>
          <w:szCs w:val="22"/>
        </w:rPr>
        <w:t>e)  Implementación de mecanismos de desarrollo de proyectos estratégicos con otros países para promover el tratamiento integral para las personas que padecen enfermedades huérfanas.</w:t>
      </w:r>
    </w:p>
    <w:p w:rsidR="0098634D" w:rsidRDefault="00DF5BC3">
      <w:pPr>
        <w:shd w:val="clear" w:color="auto" w:fill="FFFFFF"/>
        <w:ind w:left="1004"/>
        <w:rPr>
          <w:rFonts w:ascii="Arial" w:eastAsia="Arial" w:hAnsi="Arial" w:cs="Arial"/>
          <w:i/>
          <w:sz w:val="22"/>
          <w:szCs w:val="22"/>
        </w:rPr>
      </w:pPr>
      <w:r>
        <w:rPr>
          <w:rFonts w:ascii="Arial" w:eastAsia="Arial" w:hAnsi="Arial" w:cs="Arial"/>
          <w:i/>
          <w:sz w:val="22"/>
          <w:szCs w:val="22"/>
        </w:rPr>
        <w:t> </w:t>
      </w:r>
    </w:p>
    <w:p w:rsidR="0098634D" w:rsidRDefault="00DF5BC3">
      <w:pPr>
        <w:shd w:val="clear" w:color="auto" w:fill="FFFFFF"/>
        <w:ind w:left="568" w:hanging="284"/>
        <w:jc w:val="both"/>
        <w:rPr>
          <w:rFonts w:ascii="Arial" w:eastAsia="Arial" w:hAnsi="Arial" w:cs="Arial"/>
          <w:i/>
          <w:sz w:val="22"/>
          <w:szCs w:val="22"/>
        </w:rPr>
      </w:pPr>
      <w:r>
        <w:rPr>
          <w:rFonts w:ascii="Arial" w:eastAsia="Arial" w:hAnsi="Arial" w:cs="Arial"/>
          <w:i/>
          <w:sz w:val="22"/>
          <w:szCs w:val="22"/>
        </w:rPr>
        <w:lastRenderedPageBreak/>
        <w:t>f)   Registro de pacientes con enfermedades huérfanas que proporcione un mayor conocimiento sobre la incidencia de los casos, la prevalencia y mortalidad en el Distrito.”</w:t>
      </w:r>
    </w:p>
    <w:p w:rsidR="0098634D" w:rsidRDefault="0098634D">
      <w:pPr>
        <w:shd w:val="clear" w:color="auto" w:fill="FFFFFF"/>
        <w:ind w:left="568" w:hanging="284"/>
        <w:jc w:val="both"/>
        <w:rPr>
          <w:rFonts w:ascii="Arial" w:eastAsia="Arial" w:hAnsi="Arial" w:cs="Arial"/>
          <w:i/>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Ahora bien, el mencionado Acuerdo en su artículo 6° incluye un plan integrado territorial para la protección social de las personas con enfermedades huérfanas y sus familias. Dicho artículo establece que todas las acciones dirigidas a la protección social de las personas con enfermedades huérfanas y sus familias deben desarrollarse a través de un Plan Integrado Territorial. Esto significa que los programas, proyectos y estrategias en áreas como salud, educación, protección, inclusión social, transporte, vivienda y trabajo no pueden operar de manera aislada, sino que deben articularse dentro de un mismo esquema de acción coordinada a nivel territorial.</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El artículo también resalta que la protección social de estas personas no se limita únicamente al ámbito de la salud, sino que se extiende a otros factores que influyen en su calidad de vida. De esta manera, se reconoce que las enfermedades huérfanas pueden generar impactos económicos, sociales y psicológicos que afectan tanto a los pacientes como a sus familias. Por ello, el Estado, a través de sus entidades nacionales y territoriales, debe garantizar un enfoque integral en la formulación de políticas públicas que respondan a las necesidades específicas de esta población.</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En esencia, esta disposición busca evitar que los esfuerzos estatales sean fragmentados y fomenta la colaboración entre diferentes sectores y niveles de gobierno, con el fin de garantizar una atención más efectiva e incluyente para quienes padecen estas enfermedades y sus familias.</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Finalmente, el Acuerdo 537 de 2013, creó en su artículo 7, la Mesa Técnica Distrital de las Enfermedades Huérfanas “</w:t>
      </w:r>
      <w:r>
        <w:rPr>
          <w:rFonts w:ascii="Arial" w:eastAsia="Arial" w:hAnsi="Arial" w:cs="Arial"/>
          <w:i/>
          <w:sz w:val="22"/>
          <w:szCs w:val="22"/>
        </w:rPr>
        <w:t>para velar por el cumplimiento de la estrategia que se ordena implementar mediante el Acuerdo</w:t>
      </w:r>
      <w:r>
        <w:rPr>
          <w:rFonts w:ascii="Arial" w:eastAsia="Arial" w:hAnsi="Arial" w:cs="Arial"/>
          <w:sz w:val="22"/>
          <w:szCs w:val="22"/>
        </w:rPr>
        <w:t xml:space="preserve">”. Dicha mesa fue creada mediante la Resolución 1147 de 2014, de la cual es miembro permanente la Federación Colombiana de Enfermedades Raras (FECOER).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De acuerdo con FECOER (2014), la instalación de la Mesa Técnica, generó unos avances significativos en cuanto a la problemática de enfermedades huérfanas en Bogotá. Dentro de esos avances menciona:</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r>
        <w:rPr>
          <w:rFonts w:ascii="Arial" w:eastAsia="Arial" w:hAnsi="Arial" w:cs="Arial"/>
          <w:i/>
          <w:sz w:val="22"/>
          <w:szCs w:val="22"/>
        </w:rPr>
        <w:t>“(…)</w:t>
      </w:r>
    </w:p>
    <w:p w:rsidR="0098634D" w:rsidRDefault="00DF5BC3">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r>
        <w:rPr>
          <w:rFonts w:ascii="Arial" w:eastAsia="Arial" w:hAnsi="Arial" w:cs="Arial"/>
          <w:i/>
          <w:sz w:val="22"/>
          <w:szCs w:val="22"/>
        </w:rPr>
        <w:t>Verificación de las estadísticas de Enfermedades Raras presentes en el Distrito con la información provista para la cuenta de alto costo y del censo nacional de pacientes con Enfermedades Raras realizado por esta entidad.</w:t>
      </w:r>
    </w:p>
    <w:p w:rsidR="0098634D" w:rsidRDefault="00DF5BC3">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r>
        <w:rPr>
          <w:rFonts w:ascii="Arial" w:eastAsia="Arial" w:hAnsi="Arial" w:cs="Arial"/>
          <w:i/>
          <w:sz w:val="22"/>
          <w:szCs w:val="22"/>
        </w:rPr>
        <w:lastRenderedPageBreak/>
        <w:t>Presentación del protocolo por parte del Hospital de Kennedy para la atención de los pacientes con Enfermedades Raras como Centro de Referencia y Excelencia que pretende constituirse como tal.</w:t>
      </w:r>
    </w:p>
    <w:p w:rsidR="0098634D" w:rsidRDefault="00DF5BC3">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r>
        <w:rPr>
          <w:rFonts w:ascii="Arial" w:eastAsia="Arial" w:hAnsi="Arial" w:cs="Arial"/>
          <w:i/>
          <w:sz w:val="22"/>
          <w:szCs w:val="22"/>
        </w:rPr>
        <w:t>Inicio de la caracterización y análisis de la situación de salud a la población con Enfermedades Raras en Bogotá a partir de otras fuentes de la información y por último.</w:t>
      </w:r>
    </w:p>
    <w:p w:rsidR="0098634D" w:rsidRDefault="00DF5BC3">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sz w:val="22"/>
          <w:szCs w:val="22"/>
        </w:rPr>
      </w:pPr>
      <w:r>
        <w:rPr>
          <w:rFonts w:ascii="Arial" w:eastAsia="Arial" w:hAnsi="Arial" w:cs="Arial"/>
          <w:i/>
          <w:sz w:val="22"/>
          <w:szCs w:val="22"/>
        </w:rPr>
        <w:t xml:space="preserve">La propuesta de un simposio sobre estas enfermedades en Bogotá sobre la situación de las Enfermedades Raras en el Distrito y de los pacientes.”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De esta manera, el Distrito dio los primeros pasos para mejorar la calidad de vida de las personas que viven con enfermedades huérfanas y sus familias, logrando visibilizar las enfermedades huérfanas, incentivar la investigación en el campo, promover el tratamiento integral y realizar un registro de pacientes.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160" w:line="276" w:lineRule="auto"/>
        <w:jc w:val="both"/>
        <w:rPr>
          <w:rFonts w:ascii="Arial" w:eastAsia="Arial" w:hAnsi="Arial" w:cs="Arial"/>
          <w:b/>
          <w:color w:val="000000"/>
          <w:sz w:val="22"/>
          <w:szCs w:val="22"/>
        </w:rPr>
      </w:pPr>
      <w:r>
        <w:rPr>
          <w:rFonts w:ascii="Arial" w:eastAsia="Arial" w:hAnsi="Arial" w:cs="Arial"/>
          <w:b/>
          <w:color w:val="000000"/>
          <w:sz w:val="22"/>
          <w:szCs w:val="22"/>
        </w:rPr>
        <w:t>CONSIDERACIONES FINALES</w:t>
      </w: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 xml:space="preserve">El análisis de la ponencia se centró en evidenciar aspectos que no fueron considerados en la exposición de motivos y el marco normativo, ampliando el contenido para nutrir la argumentación de la iniciativa. </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Se enfatizó en la necesidad de fortalecer las estrategias de acceso a la salud para las personas que padecen enfermedades huérfanas en Bogotá, en memoria de Jessica Liliana Ramírez Gaviria. A través del análisis de la experiencia internacional, el marco normativo, los avances jurisprudenciales y la regulación distrital vigente, se evidencia que, si bien se han dado pasos importantes en la protección de esta población, aún existen barreras significativas que deben ser superadas para garantizar una atención integral, oportuna y de calidad.</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Pr>
          <w:rFonts w:ascii="Arial" w:eastAsia="Arial" w:hAnsi="Arial" w:cs="Arial"/>
          <w:sz w:val="22"/>
          <w:szCs w:val="22"/>
        </w:rPr>
        <w:t>La revisión de experiencias en países como Estados Unidos, Canadá, la Unión Europea y México muestra cómo la articulación de esfuerzos estatales, incentivos para la investigación y desarrollo de medicamentos, así como la consolidación de registros de pacientes, han permitido avances sustanciales en la atención de las enfermedades huérfanas. En Colombia, aunque el marco legal reconoce a las personas con estas patologías como sujetos de especial protección, en la práctica, muchas siguen enfrentando dificultades para acceder a tratamientos y servicios médicos adecuados.</w:t>
      </w:r>
    </w:p>
    <w:p w:rsidR="0098634D" w:rsidRDefault="0098634D">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rsidR="0098634D" w:rsidRDefault="00DF5BC3">
      <w:pPr>
        <w:shd w:val="clear" w:color="auto" w:fill="FFFFFF"/>
        <w:spacing w:line="276" w:lineRule="auto"/>
        <w:jc w:val="both"/>
        <w:rPr>
          <w:rFonts w:ascii="Arial" w:eastAsia="Arial" w:hAnsi="Arial" w:cs="Arial"/>
          <w:sz w:val="22"/>
          <w:szCs w:val="22"/>
        </w:rPr>
      </w:pPr>
      <w:r>
        <w:rPr>
          <w:rFonts w:ascii="Arial" w:eastAsia="Arial" w:hAnsi="Arial" w:cs="Arial"/>
          <w:sz w:val="22"/>
          <w:szCs w:val="22"/>
        </w:rPr>
        <w:t>A partir del análisis realizado, la presente ponencia propone modificaciones al articulado del proyecto de acuerdo con el fin de garantizar una protección más efectiva a sectores específicos de la población.</w:t>
      </w:r>
    </w:p>
    <w:p w:rsidR="0098634D" w:rsidRDefault="0098634D">
      <w:pPr>
        <w:shd w:val="clear" w:color="auto" w:fill="FFFFFF"/>
        <w:spacing w:line="276" w:lineRule="auto"/>
        <w:jc w:val="both"/>
        <w:rPr>
          <w:rFonts w:ascii="Arial" w:eastAsia="Arial" w:hAnsi="Arial" w:cs="Arial"/>
          <w:sz w:val="22"/>
          <w:szCs w:val="22"/>
        </w:rPr>
      </w:pPr>
    </w:p>
    <w:p w:rsidR="0098634D" w:rsidRDefault="00DF5BC3">
      <w:pPr>
        <w:shd w:val="clear" w:color="auto" w:fill="FFFFFF"/>
        <w:spacing w:line="276" w:lineRule="auto"/>
        <w:jc w:val="both"/>
        <w:rPr>
          <w:rFonts w:ascii="Arial" w:eastAsia="Arial" w:hAnsi="Arial" w:cs="Arial"/>
          <w:sz w:val="22"/>
          <w:szCs w:val="22"/>
        </w:rPr>
      </w:pPr>
      <w:r>
        <w:rPr>
          <w:rFonts w:ascii="Arial" w:eastAsia="Arial" w:hAnsi="Arial" w:cs="Arial"/>
          <w:sz w:val="22"/>
          <w:szCs w:val="22"/>
        </w:rPr>
        <w:t>En primer lugar, se sugiere incluir el término “género” dentro del articulado, con el propósito de asegurar que, al diseñar estrategias de atención, se reconozcan y aborden las barreras particulares que enfrentan las mujeres y niñas en razón de su género. Esta perspectiva diferencial permitirá desarrollar políticas más inclusivas y ajustadas a las necesidades reales de la población.</w:t>
      </w:r>
    </w:p>
    <w:p w:rsidR="0098634D" w:rsidRDefault="0098634D">
      <w:pPr>
        <w:shd w:val="clear" w:color="auto" w:fill="FFFFFF"/>
        <w:spacing w:line="276" w:lineRule="auto"/>
        <w:jc w:val="both"/>
        <w:rPr>
          <w:rFonts w:ascii="Arial" w:eastAsia="Arial" w:hAnsi="Arial" w:cs="Arial"/>
          <w:sz w:val="22"/>
          <w:szCs w:val="22"/>
        </w:rPr>
      </w:pPr>
    </w:p>
    <w:p w:rsidR="0098634D" w:rsidRDefault="00DF5BC3">
      <w:pPr>
        <w:shd w:val="clear" w:color="auto" w:fill="FFFFFF"/>
        <w:spacing w:line="276" w:lineRule="auto"/>
        <w:jc w:val="both"/>
        <w:rPr>
          <w:rFonts w:ascii="Arial" w:eastAsia="Arial" w:hAnsi="Arial" w:cs="Arial"/>
          <w:sz w:val="22"/>
          <w:szCs w:val="22"/>
        </w:rPr>
      </w:pPr>
      <w:r>
        <w:rPr>
          <w:rFonts w:ascii="Arial" w:eastAsia="Arial" w:hAnsi="Arial" w:cs="Arial"/>
          <w:sz w:val="22"/>
          <w:szCs w:val="22"/>
        </w:rPr>
        <w:t>Asimismo, se propone dar mayor visibilidad a los niños, niñas y adolescentes dentro del proyecto, ya que, al igual que Jessica Liliana Ramírez Gaviria, son sujetos de especial protección constitucional. Debido a su vulnerabilidad, requieren un tratamiento diferenciado que debe reflejarse en las estrategias implementadas para la atención de personas con enfermedades huérfanas.</w:t>
      </w:r>
    </w:p>
    <w:p w:rsidR="0098634D" w:rsidRDefault="0098634D">
      <w:pPr>
        <w:shd w:val="clear" w:color="auto" w:fill="FFFFFF"/>
        <w:spacing w:line="276" w:lineRule="auto"/>
        <w:jc w:val="both"/>
        <w:rPr>
          <w:rFonts w:ascii="Arial" w:eastAsia="Arial" w:hAnsi="Arial" w:cs="Arial"/>
          <w:sz w:val="22"/>
          <w:szCs w:val="22"/>
        </w:rPr>
      </w:pPr>
    </w:p>
    <w:p w:rsidR="0098634D" w:rsidRDefault="00DF5BC3">
      <w:pPr>
        <w:shd w:val="clear" w:color="auto" w:fill="FFFFFF"/>
        <w:spacing w:line="276" w:lineRule="auto"/>
        <w:jc w:val="both"/>
        <w:rPr>
          <w:rFonts w:ascii="Arial" w:eastAsia="Arial" w:hAnsi="Arial" w:cs="Arial"/>
          <w:sz w:val="22"/>
          <w:szCs w:val="22"/>
        </w:rPr>
      </w:pPr>
      <w:r>
        <w:rPr>
          <w:rFonts w:ascii="Arial" w:eastAsia="Arial" w:hAnsi="Arial" w:cs="Arial"/>
          <w:sz w:val="22"/>
          <w:szCs w:val="22"/>
        </w:rPr>
        <w:t xml:space="preserve">Por otro lado, se recomienda suprimir el numeral 10, dado que su contenido es similar al artículo 3, literal </w:t>
      </w:r>
      <w:r>
        <w:rPr>
          <w:rFonts w:ascii="Arial" w:eastAsia="Arial" w:hAnsi="Arial" w:cs="Arial"/>
          <w:i/>
          <w:sz w:val="22"/>
          <w:szCs w:val="22"/>
        </w:rPr>
        <w:t>i</w:t>
      </w:r>
      <w:r>
        <w:rPr>
          <w:rFonts w:ascii="Arial" w:eastAsia="Arial" w:hAnsi="Arial" w:cs="Arial"/>
          <w:sz w:val="22"/>
          <w:szCs w:val="22"/>
        </w:rPr>
        <w:t xml:space="preserve"> del Acuerdo 537 de 2013, el cual establece: </w:t>
      </w:r>
      <w:r>
        <w:rPr>
          <w:rFonts w:ascii="Arial" w:eastAsia="Arial" w:hAnsi="Arial" w:cs="Arial"/>
          <w:i/>
          <w:sz w:val="22"/>
          <w:szCs w:val="22"/>
        </w:rPr>
        <w:t>“Promover estímulos para la investigación en la detección oportuna, tratamiento y rehabilitación de las enfermedades huérfanas”.</w:t>
      </w:r>
      <w:r>
        <w:rPr>
          <w:rFonts w:ascii="Arial" w:eastAsia="Arial" w:hAnsi="Arial" w:cs="Arial"/>
          <w:sz w:val="22"/>
          <w:szCs w:val="22"/>
        </w:rPr>
        <w:t xml:space="preserve"> Esto con el fin de evitar una duplicidad normativa horizontal que haga que la norma sea redundante.</w:t>
      </w:r>
    </w:p>
    <w:p w:rsidR="0098634D" w:rsidRDefault="0098634D">
      <w:pPr>
        <w:shd w:val="clear" w:color="auto" w:fill="FFFFFF"/>
        <w:spacing w:line="276" w:lineRule="auto"/>
        <w:jc w:val="both"/>
        <w:rPr>
          <w:rFonts w:ascii="Arial" w:eastAsia="Arial" w:hAnsi="Arial" w:cs="Arial"/>
          <w:sz w:val="22"/>
          <w:szCs w:val="22"/>
        </w:rPr>
      </w:pPr>
    </w:p>
    <w:p w:rsidR="0098634D" w:rsidRDefault="00DF5BC3">
      <w:pPr>
        <w:shd w:val="clear" w:color="auto" w:fill="FFFFFF"/>
        <w:spacing w:line="276" w:lineRule="auto"/>
        <w:jc w:val="both"/>
        <w:rPr>
          <w:rFonts w:ascii="Arial" w:eastAsia="Arial" w:hAnsi="Arial" w:cs="Arial"/>
          <w:sz w:val="22"/>
          <w:szCs w:val="22"/>
        </w:rPr>
      </w:pPr>
      <w:r>
        <w:rPr>
          <w:rFonts w:ascii="Arial" w:eastAsia="Arial" w:hAnsi="Arial" w:cs="Arial"/>
          <w:sz w:val="22"/>
          <w:szCs w:val="22"/>
        </w:rPr>
        <w:t>Finalmente, es importante resaltar que este proyecto de acuerdo representa un avance significativo para el Distrito en la atención de las enfermedades huérfanas. Su correcta implementación permitirá mejorar el manejo de los pacientes y contribuirá a la dignificación de quienes padecen estas condiciones, garantizando que, pese a la complejidad de su diagnóstico y tratamiento, reciban una atención integral, humanizada y libre de discriminación. Con esta iniciativa, se busca cerrar las brechas que históricamente han afectado a esta población y avanzar hacia un sistema de salud más equitativo e incluyente.</w:t>
      </w:r>
    </w:p>
    <w:p w:rsidR="0098634D" w:rsidRDefault="0098634D">
      <w:pPr>
        <w:shd w:val="clear" w:color="auto" w:fill="FFFFFF"/>
        <w:spacing w:line="276" w:lineRule="auto"/>
        <w:jc w:val="both"/>
        <w:rPr>
          <w:rFonts w:ascii="Arial" w:eastAsia="Arial" w:hAnsi="Arial" w:cs="Arial"/>
          <w:sz w:val="22"/>
          <w:szCs w:val="22"/>
        </w:rPr>
      </w:pPr>
    </w:p>
    <w:p w:rsidR="0098634D" w:rsidRDefault="0098634D">
      <w:pPr>
        <w:shd w:val="clear" w:color="auto" w:fill="FFFFFF"/>
        <w:spacing w:line="276" w:lineRule="auto"/>
        <w:jc w:val="both"/>
        <w:rPr>
          <w:rFonts w:ascii="Arial" w:eastAsia="Arial" w:hAnsi="Arial" w:cs="Arial"/>
          <w:sz w:val="22"/>
          <w:szCs w:val="22"/>
        </w:rPr>
      </w:pPr>
    </w:p>
    <w:p w:rsidR="0098634D" w:rsidRDefault="00DF5BC3">
      <w:pPr>
        <w:jc w:val="both"/>
        <w:rPr>
          <w:rFonts w:ascii="Arial" w:eastAsia="Arial" w:hAnsi="Arial" w:cs="Arial"/>
          <w:b/>
          <w:sz w:val="22"/>
          <w:szCs w:val="22"/>
        </w:rPr>
      </w:pPr>
      <w:r>
        <w:rPr>
          <w:rFonts w:ascii="Arial" w:eastAsia="Arial" w:hAnsi="Arial" w:cs="Arial"/>
          <w:b/>
          <w:sz w:val="22"/>
          <w:szCs w:val="22"/>
        </w:rPr>
        <w:t>VII. COMPETENCIA DEL CONCEJO DE BOGOTÁ</w:t>
      </w:r>
    </w:p>
    <w:p w:rsidR="0098634D" w:rsidRDefault="0098634D">
      <w:pPr>
        <w:jc w:val="both"/>
        <w:rPr>
          <w:rFonts w:ascii="Arial" w:eastAsia="Arial" w:hAnsi="Arial" w:cs="Arial"/>
          <w:b/>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De conformidad con el numeral 1 del artículo 12 del Decreto 1421 de 1993, corresponde al Concejo de Bogotá:</w:t>
      </w:r>
      <w:r>
        <w:rPr>
          <w:rFonts w:ascii="Arial" w:eastAsia="Arial" w:hAnsi="Arial" w:cs="Arial"/>
          <w:i/>
          <w:sz w:val="22"/>
          <w:szCs w:val="22"/>
        </w:rPr>
        <w:t>“1. Dictar las normas necesarias para garantizar el adecuado cumplimiento de las funciones y la eficiente prestación de los servicios a cargo del Distrito.”</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Por lo que el Concejo de Bogotá es competente para discutir y aprobar el presente</w:t>
      </w:r>
    </w:p>
    <w:p w:rsidR="0098634D" w:rsidRDefault="00DF5BC3">
      <w:pPr>
        <w:jc w:val="both"/>
        <w:rPr>
          <w:rFonts w:ascii="Arial" w:eastAsia="Arial" w:hAnsi="Arial" w:cs="Arial"/>
          <w:sz w:val="22"/>
          <w:szCs w:val="22"/>
        </w:rPr>
      </w:pPr>
      <w:r>
        <w:rPr>
          <w:rFonts w:ascii="Arial" w:eastAsia="Arial" w:hAnsi="Arial" w:cs="Arial"/>
          <w:sz w:val="22"/>
          <w:szCs w:val="22"/>
        </w:rPr>
        <w:t>proyecto de acuerdo.</w:t>
      </w:r>
    </w:p>
    <w:p w:rsidR="0098634D" w:rsidRDefault="0098634D">
      <w:pPr>
        <w:jc w:val="both"/>
        <w:rPr>
          <w:rFonts w:ascii="Arial" w:eastAsia="Arial" w:hAnsi="Arial" w:cs="Arial"/>
          <w:b/>
          <w:sz w:val="22"/>
          <w:szCs w:val="22"/>
        </w:rPr>
      </w:pPr>
    </w:p>
    <w:p w:rsidR="0098634D" w:rsidRDefault="0098634D">
      <w:pPr>
        <w:jc w:val="both"/>
        <w:rPr>
          <w:rFonts w:ascii="Arial" w:eastAsia="Arial" w:hAnsi="Arial" w:cs="Arial"/>
          <w:b/>
          <w:sz w:val="22"/>
          <w:szCs w:val="22"/>
        </w:rPr>
      </w:pPr>
    </w:p>
    <w:p w:rsidR="0098634D" w:rsidRDefault="00DF5BC3">
      <w:pPr>
        <w:jc w:val="both"/>
        <w:rPr>
          <w:rFonts w:ascii="Arial" w:eastAsia="Arial" w:hAnsi="Arial" w:cs="Arial"/>
          <w:b/>
          <w:sz w:val="22"/>
          <w:szCs w:val="22"/>
        </w:rPr>
      </w:pPr>
      <w:r>
        <w:rPr>
          <w:rFonts w:ascii="Arial" w:eastAsia="Arial" w:hAnsi="Arial" w:cs="Arial"/>
          <w:b/>
          <w:sz w:val="22"/>
          <w:szCs w:val="22"/>
        </w:rPr>
        <w:t>VIII. IMPACTO FISCAL</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De conformidad con el artículo 7 de la Ley 819 de 2003:</w:t>
      </w:r>
    </w:p>
    <w:p w:rsidR="0098634D" w:rsidRDefault="0098634D">
      <w:pPr>
        <w:jc w:val="both"/>
        <w:rPr>
          <w:rFonts w:ascii="Arial" w:eastAsia="Arial" w:hAnsi="Arial" w:cs="Arial"/>
          <w:sz w:val="22"/>
          <w:szCs w:val="22"/>
        </w:rPr>
      </w:pPr>
    </w:p>
    <w:p w:rsidR="0098634D" w:rsidRDefault="00DF5BC3">
      <w:pPr>
        <w:ind w:left="567"/>
        <w:jc w:val="both"/>
        <w:rPr>
          <w:rFonts w:ascii="Arial" w:eastAsia="Arial" w:hAnsi="Arial" w:cs="Arial"/>
          <w:i/>
          <w:sz w:val="22"/>
          <w:szCs w:val="22"/>
        </w:rPr>
      </w:pPr>
      <w:r>
        <w:rPr>
          <w:rFonts w:ascii="Arial" w:eastAsia="Arial" w:hAnsi="Arial" w:cs="Arial"/>
          <w:i/>
          <w:sz w:val="22"/>
          <w:szCs w:val="22"/>
        </w:rPr>
        <w:t>“En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rsidR="0098634D" w:rsidRDefault="0098634D">
      <w:pPr>
        <w:ind w:left="567"/>
        <w:jc w:val="both"/>
        <w:rPr>
          <w:rFonts w:ascii="Arial" w:eastAsia="Arial" w:hAnsi="Arial" w:cs="Arial"/>
          <w:i/>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En atención a lo anterior y de acuerdo con la información presentada por parte de los autores de la iniciativa, el Proyecto de Acuerdo 315 de 2025, no genera impacto fiscal puesto que el modelo de </w:t>
      </w:r>
      <w:r>
        <w:rPr>
          <w:rFonts w:ascii="Arial" w:eastAsia="Arial" w:hAnsi="Arial" w:cs="Arial"/>
          <w:i/>
          <w:sz w:val="22"/>
          <w:szCs w:val="22"/>
        </w:rPr>
        <w:t>Atención Primaria Social</w:t>
      </w:r>
      <w:r>
        <w:rPr>
          <w:rFonts w:ascii="Arial" w:eastAsia="Arial" w:hAnsi="Arial" w:cs="Arial"/>
          <w:sz w:val="22"/>
          <w:szCs w:val="22"/>
        </w:rPr>
        <w:t xml:space="preserve"> de la actual Administración Distrital, cuenta con recursos para el cumplimiento de los Programas de “Salud Pública Integrada e Integral” y “Salud con calidad y en el territorio” del Plan Distrital de Desarrollo.</w:t>
      </w:r>
    </w:p>
    <w:p w:rsidR="0098634D" w:rsidRDefault="0098634D">
      <w:pPr>
        <w:jc w:val="both"/>
        <w:rPr>
          <w:rFonts w:ascii="Arial" w:eastAsia="Arial" w:hAnsi="Arial" w:cs="Arial"/>
          <w:sz w:val="22"/>
          <w:szCs w:val="22"/>
        </w:rPr>
      </w:pP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b/>
          <w:sz w:val="22"/>
          <w:szCs w:val="22"/>
        </w:rPr>
        <w:t>IX. CONCLUSIÓN</w:t>
      </w:r>
    </w:p>
    <w:p w:rsidR="0098634D" w:rsidRDefault="0098634D">
      <w:pPr>
        <w:jc w:val="both"/>
        <w:rPr>
          <w:rFonts w:ascii="Arial" w:eastAsia="Arial" w:hAnsi="Arial" w:cs="Arial"/>
          <w:b/>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De acuerdo con las consideraciones establecidas anteriormente, me permito rendir </w:t>
      </w:r>
      <w:r>
        <w:rPr>
          <w:rFonts w:ascii="Arial" w:eastAsia="Arial" w:hAnsi="Arial" w:cs="Arial"/>
          <w:b/>
          <w:sz w:val="22"/>
          <w:szCs w:val="22"/>
        </w:rPr>
        <w:t>PONENCIA POSITIVA CON MODIFICACIONES</w:t>
      </w:r>
      <w:r>
        <w:rPr>
          <w:rFonts w:ascii="Arial" w:eastAsia="Arial" w:hAnsi="Arial" w:cs="Arial"/>
          <w:sz w:val="22"/>
          <w:szCs w:val="22"/>
        </w:rPr>
        <w:t xml:space="preserve">, al proyecto de acuerdo 315 de 2025 </w:t>
      </w:r>
      <w:r>
        <w:rPr>
          <w:rFonts w:ascii="Arial" w:eastAsia="Arial" w:hAnsi="Arial" w:cs="Arial"/>
          <w:b/>
          <w:sz w:val="22"/>
          <w:szCs w:val="22"/>
        </w:rPr>
        <w:t>“</w:t>
      </w:r>
      <w:r>
        <w:rPr>
          <w:rFonts w:ascii="Arial" w:eastAsia="Arial" w:hAnsi="Arial" w:cs="Arial"/>
          <w:b/>
          <w:i/>
          <w:sz w:val="22"/>
          <w:szCs w:val="22"/>
        </w:rPr>
        <w:t>POR MEDIO DEL CUAL SE EXALTA LA MEMORIA DE JESSICA LILIANA RAMÍREZ GAVIRIA QEPD, SE ESTABLECEN LOS LINEAMIENTOS DE LA ESTRATEGIA DE ATENCIÓN INTEGRAL PARA LAS PERSONAS CON ENFERMEDADES HUÉRFANAS EN EL DISTRITO CAPITAL Y SE DICTAN OTRAS DISPOSICIONES</w:t>
      </w:r>
      <w:r>
        <w:rPr>
          <w:rFonts w:ascii="Arial" w:eastAsia="Arial" w:hAnsi="Arial" w:cs="Arial"/>
          <w:b/>
          <w:sz w:val="22"/>
          <w:szCs w:val="22"/>
        </w:rPr>
        <w:t xml:space="preserve">”. </w:t>
      </w:r>
    </w:p>
    <w:p w:rsidR="0098634D" w:rsidRDefault="0098634D">
      <w:pPr>
        <w:jc w:val="both"/>
        <w:rPr>
          <w:rFonts w:ascii="Arial" w:eastAsia="Arial" w:hAnsi="Arial" w:cs="Arial"/>
          <w:b/>
          <w:sz w:val="22"/>
          <w:szCs w:val="22"/>
        </w:rPr>
      </w:pPr>
    </w:p>
    <w:p w:rsidR="0098634D" w:rsidRDefault="0098634D">
      <w:pPr>
        <w:jc w:val="both"/>
        <w:rPr>
          <w:rFonts w:ascii="Arial" w:eastAsia="Arial" w:hAnsi="Arial" w:cs="Arial"/>
          <w:b/>
          <w:sz w:val="22"/>
          <w:szCs w:val="22"/>
        </w:rPr>
      </w:pPr>
    </w:p>
    <w:p w:rsidR="0098634D" w:rsidRDefault="00DF5BC3">
      <w:pPr>
        <w:jc w:val="both"/>
        <w:rPr>
          <w:rFonts w:ascii="Arial" w:eastAsia="Arial" w:hAnsi="Arial" w:cs="Arial"/>
          <w:b/>
          <w:sz w:val="22"/>
          <w:szCs w:val="22"/>
        </w:rPr>
      </w:pPr>
      <w:r>
        <w:rPr>
          <w:rFonts w:ascii="Arial" w:eastAsia="Arial" w:hAnsi="Arial" w:cs="Arial"/>
          <w:sz w:val="22"/>
          <w:szCs w:val="22"/>
        </w:rPr>
        <w:t>Cordialmente,</w:t>
      </w:r>
      <w:r>
        <w:rPr>
          <w:rFonts w:ascii="Arial" w:eastAsia="Arial" w:hAnsi="Arial" w:cs="Arial"/>
          <w:b/>
          <w:sz w:val="22"/>
          <w:szCs w:val="22"/>
        </w:rPr>
        <w:t xml:space="preserve"> </w:t>
      </w:r>
    </w:p>
    <w:p w:rsidR="0098634D" w:rsidRDefault="0098634D">
      <w:pPr>
        <w:jc w:val="both"/>
        <w:rPr>
          <w:rFonts w:ascii="Arial" w:eastAsia="Arial" w:hAnsi="Arial" w:cs="Arial"/>
          <w:b/>
          <w:sz w:val="22"/>
          <w:szCs w:val="22"/>
        </w:rPr>
      </w:pPr>
      <w:bookmarkStart w:id="2" w:name="_heading=h.hgqfmjyolzm" w:colFirst="0" w:colLast="0"/>
      <w:bookmarkEnd w:id="2"/>
    </w:p>
    <w:p w:rsidR="0098634D" w:rsidRDefault="0098634D">
      <w:pPr>
        <w:jc w:val="both"/>
        <w:rPr>
          <w:rFonts w:ascii="Arial" w:eastAsia="Arial" w:hAnsi="Arial" w:cs="Arial"/>
          <w:b/>
          <w:sz w:val="22"/>
          <w:szCs w:val="22"/>
        </w:rPr>
      </w:pPr>
    </w:p>
    <w:p w:rsidR="0098634D" w:rsidRDefault="0098634D">
      <w:pPr>
        <w:jc w:val="both"/>
        <w:rPr>
          <w:rFonts w:ascii="Arial" w:eastAsia="Arial" w:hAnsi="Arial" w:cs="Arial"/>
          <w:b/>
          <w:sz w:val="22"/>
          <w:szCs w:val="22"/>
        </w:rPr>
      </w:pPr>
    </w:p>
    <w:p w:rsidR="0098634D" w:rsidRDefault="00DF5BC3">
      <w:pPr>
        <w:jc w:val="both"/>
        <w:rPr>
          <w:rFonts w:ascii="Arial" w:eastAsia="Arial" w:hAnsi="Arial" w:cs="Arial"/>
          <w:b/>
          <w:sz w:val="22"/>
          <w:szCs w:val="22"/>
        </w:rPr>
      </w:pPr>
      <w:r>
        <w:rPr>
          <w:rFonts w:ascii="Arial" w:eastAsia="Arial" w:hAnsi="Arial" w:cs="Arial"/>
          <w:b/>
          <w:sz w:val="22"/>
          <w:szCs w:val="22"/>
        </w:rPr>
        <w:t xml:space="preserve">RUBÉN DARÍO TORRADO PACHECO </w:t>
      </w:r>
    </w:p>
    <w:p w:rsidR="0098634D" w:rsidRDefault="00DF5BC3">
      <w:pPr>
        <w:jc w:val="both"/>
        <w:rPr>
          <w:rFonts w:ascii="Arial" w:eastAsia="Arial" w:hAnsi="Arial" w:cs="Arial"/>
          <w:sz w:val="22"/>
          <w:szCs w:val="22"/>
        </w:rPr>
      </w:pPr>
      <w:r>
        <w:rPr>
          <w:rFonts w:ascii="Arial" w:eastAsia="Arial" w:hAnsi="Arial" w:cs="Arial"/>
          <w:sz w:val="22"/>
          <w:szCs w:val="22"/>
        </w:rPr>
        <w:t>Concejal de Bogotá D.C.</w:t>
      </w:r>
    </w:p>
    <w:p w:rsidR="0098634D" w:rsidRDefault="0098634D">
      <w:pPr>
        <w:jc w:val="both"/>
        <w:rPr>
          <w:rFonts w:ascii="Arial" w:eastAsia="Arial" w:hAnsi="Arial" w:cs="Arial"/>
          <w:b/>
          <w:sz w:val="22"/>
          <w:szCs w:val="22"/>
        </w:rPr>
      </w:pPr>
    </w:p>
    <w:p w:rsidR="0098634D" w:rsidRDefault="0098634D">
      <w:pPr>
        <w:jc w:val="both"/>
        <w:rPr>
          <w:rFonts w:ascii="Arial" w:eastAsia="Arial" w:hAnsi="Arial" w:cs="Arial"/>
          <w:b/>
          <w:sz w:val="22"/>
          <w:szCs w:val="22"/>
        </w:rPr>
      </w:pPr>
    </w:p>
    <w:p w:rsidR="0098634D" w:rsidRDefault="0098634D">
      <w:pPr>
        <w:jc w:val="both"/>
        <w:rPr>
          <w:rFonts w:ascii="Arial" w:eastAsia="Arial" w:hAnsi="Arial" w:cs="Arial"/>
          <w:b/>
          <w:sz w:val="22"/>
          <w:szCs w:val="22"/>
        </w:rPr>
      </w:pPr>
    </w:p>
    <w:p w:rsidR="0098634D" w:rsidRDefault="0098634D">
      <w:pPr>
        <w:jc w:val="both"/>
        <w:rPr>
          <w:rFonts w:ascii="Arial" w:eastAsia="Arial" w:hAnsi="Arial" w:cs="Arial"/>
          <w:b/>
          <w:sz w:val="22"/>
          <w:szCs w:val="22"/>
        </w:rPr>
      </w:pPr>
    </w:p>
    <w:p w:rsidR="0098634D" w:rsidRDefault="00DF5BC3">
      <w:pPr>
        <w:jc w:val="both"/>
        <w:rPr>
          <w:rFonts w:ascii="Arial" w:eastAsia="Arial" w:hAnsi="Arial" w:cs="Arial"/>
          <w:b/>
          <w:sz w:val="22"/>
          <w:szCs w:val="22"/>
        </w:rPr>
      </w:pPr>
      <w:r>
        <w:rPr>
          <w:rFonts w:ascii="Arial" w:eastAsia="Arial" w:hAnsi="Arial" w:cs="Arial"/>
          <w:b/>
          <w:sz w:val="22"/>
          <w:szCs w:val="22"/>
        </w:rPr>
        <w:t>X. REFERENCIAS BIBLIOGRÁFICAS</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CDA (n.d.) Medicamentos para enfermedades raras: registros basados en enfermedades raras. Tomado de: </w:t>
      </w:r>
      <w:hyperlink r:id="rId10">
        <w:r>
          <w:rPr>
            <w:rFonts w:ascii="Arial" w:eastAsia="Arial" w:hAnsi="Arial" w:cs="Arial"/>
            <w:color w:val="0563C1"/>
            <w:sz w:val="22"/>
            <w:szCs w:val="22"/>
            <w:u w:val="single"/>
          </w:rPr>
          <w:t>https://www.cda-amc.ca/drugs-rare-diseases-rare-disease-based-registries</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Comisión Europea. (2024). Enfermedades raras. Tomado de: </w:t>
      </w:r>
      <w:hyperlink r:id="rId11">
        <w:r>
          <w:rPr>
            <w:rFonts w:ascii="Arial" w:eastAsia="Arial" w:hAnsi="Arial" w:cs="Arial"/>
            <w:color w:val="0563C1"/>
            <w:sz w:val="22"/>
            <w:szCs w:val="22"/>
            <w:u w:val="single"/>
          </w:rPr>
          <w:t>https://health.ec.europa.eu/rare-diseases-and-european-reference-networks/rare-diseases_es</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lastRenderedPageBreak/>
        <w:t xml:space="preserve">Corte Constitucional de Colombia. (2020). Sentencia T-413 de 2020. </w:t>
      </w:r>
      <w:hyperlink r:id="rId12">
        <w:r>
          <w:rPr>
            <w:rFonts w:ascii="Arial" w:eastAsia="Arial" w:hAnsi="Arial" w:cs="Arial"/>
            <w:color w:val="0563C1"/>
            <w:sz w:val="22"/>
            <w:szCs w:val="22"/>
            <w:u w:val="single"/>
          </w:rPr>
          <w:t>https://www.corteconstitucional.gov.co</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Corte Constitucional de Colombia. (1998). Sentencia SU-225 de 1998. </w:t>
      </w:r>
      <w:hyperlink r:id="rId13">
        <w:r>
          <w:rPr>
            <w:rFonts w:ascii="Arial" w:eastAsia="Arial" w:hAnsi="Arial" w:cs="Arial"/>
            <w:color w:val="0563C1"/>
            <w:sz w:val="22"/>
            <w:szCs w:val="22"/>
            <w:u w:val="single"/>
          </w:rPr>
          <w:t>https://www.corteconstitucional.gov.co</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Corte Constitucional de Colombia. (2021). Sentencia T-298 de 2021. </w:t>
      </w:r>
      <w:hyperlink r:id="rId14">
        <w:r>
          <w:rPr>
            <w:rFonts w:ascii="Arial" w:eastAsia="Arial" w:hAnsi="Arial" w:cs="Arial"/>
            <w:color w:val="0563C1"/>
            <w:sz w:val="22"/>
            <w:szCs w:val="22"/>
            <w:u w:val="single"/>
          </w:rPr>
          <w:t>https://www.corteconstitucional.gov.co</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Concejo de Bogotá. (2013). Acuerdo 537 de 2013. Por el cual se establece la Política Pública de Discapacidad para el Distrito Capital. </w:t>
      </w:r>
      <w:hyperlink r:id="rId15">
        <w:r>
          <w:rPr>
            <w:rFonts w:ascii="Arial" w:eastAsia="Arial" w:hAnsi="Arial" w:cs="Arial"/>
            <w:color w:val="0563C1"/>
            <w:sz w:val="22"/>
            <w:szCs w:val="22"/>
            <w:u w:val="single"/>
          </w:rPr>
          <w:t>https://www.alcaldiabogota.gov.co</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Corte Interamericana de Derechos Humanos. (1969). Convención Americana sobre Derechos Humanos ("Pacto de San José de Costa Rica"). Organización de los Estados Americanos. </w:t>
      </w:r>
      <w:hyperlink r:id="rId16">
        <w:r>
          <w:rPr>
            <w:rFonts w:ascii="Arial" w:eastAsia="Arial" w:hAnsi="Arial" w:cs="Arial"/>
            <w:color w:val="0563C1"/>
            <w:sz w:val="22"/>
            <w:szCs w:val="22"/>
            <w:u w:val="single"/>
          </w:rPr>
          <w:t>https://www.oas.org/es/cidh/mandato_basico/derechos.asp</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Congreso de Colombia. (1991). Constitución Política de Colombia. Diario Oficial No. 114, Edición Especial. </w:t>
      </w:r>
      <w:hyperlink r:id="rId17">
        <w:r>
          <w:rPr>
            <w:rFonts w:ascii="Arial" w:eastAsia="Arial" w:hAnsi="Arial" w:cs="Arial"/>
            <w:color w:val="0563C1"/>
            <w:sz w:val="22"/>
            <w:szCs w:val="22"/>
            <w:u w:val="single"/>
          </w:rPr>
          <w:t>https://www.secretariasenado.gov.co</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Congreso de Colombia. (2006). Ley 1098 de 2006: Código de Infancia y Adolescencia. Diario Oficial No. 46.446. </w:t>
      </w:r>
      <w:hyperlink r:id="rId18">
        <w:r>
          <w:rPr>
            <w:rFonts w:ascii="Arial" w:eastAsia="Arial" w:hAnsi="Arial" w:cs="Arial"/>
            <w:color w:val="0563C1"/>
            <w:sz w:val="22"/>
            <w:szCs w:val="22"/>
            <w:u w:val="single"/>
          </w:rPr>
          <w:t>https://www.funcionpublica.gov.co/eva/gestornormativo/norma.php?i=22279</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FDA (2024) Rare Diseases at FDA. Tomado de: </w:t>
      </w:r>
      <w:hyperlink r:id="rId19">
        <w:r>
          <w:rPr>
            <w:rFonts w:ascii="Arial" w:eastAsia="Arial" w:hAnsi="Arial" w:cs="Arial"/>
            <w:color w:val="0563C1"/>
            <w:sz w:val="22"/>
            <w:szCs w:val="22"/>
            <w:u w:val="single"/>
          </w:rPr>
          <w:t>https://www.fda.gov/patients/rare-diseases-fda</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Federación Colombiana de Enfermedades Raras (FECOER). (2014). Avances de la Mesa Técnica Distrital de Enfermedades Raras: Políticas públicas locales para resolver en Bogotá. </w:t>
      </w:r>
      <w:hyperlink r:id="rId20">
        <w:r>
          <w:rPr>
            <w:rFonts w:ascii="Arial" w:eastAsia="Arial" w:hAnsi="Arial" w:cs="Arial"/>
            <w:color w:val="0563C1"/>
            <w:sz w:val="22"/>
            <w:szCs w:val="22"/>
            <w:u w:val="single"/>
          </w:rPr>
          <w:t>https://www.fecoer.org/avances-de-la-mesa-tecnica-distrital-de-enfermedades-raras-en-politicas-publicas-para-estas-enfermedades/</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Gobierno De México. (2022). 28 de Febrero | Día Mundial de las Enfermedades Raras. Tomado de: </w:t>
      </w:r>
      <w:hyperlink r:id="rId21" w:anchor=":~:text=En%20M%C3%A9xico%20una%20enfermedad%20se,Homocistinuria">
        <w:r>
          <w:rPr>
            <w:rFonts w:ascii="Arial" w:eastAsia="Arial" w:hAnsi="Arial" w:cs="Arial"/>
            <w:color w:val="0563C1"/>
            <w:sz w:val="22"/>
            <w:szCs w:val="22"/>
            <w:u w:val="single"/>
          </w:rPr>
          <w:t>https://www.gob.mx/insabi/es/articulos/28-de-febrero-dia-mundial-de-las-enfermedades-raras-295408?idiom=es#:~:text=En%20M%C3%A9xico%20una%20enfermedad%20se,Homocistinuria</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DF5BC3">
      <w:pPr>
        <w:jc w:val="both"/>
        <w:rPr>
          <w:rFonts w:ascii="Arial" w:eastAsia="Arial" w:hAnsi="Arial" w:cs="Arial"/>
          <w:sz w:val="22"/>
          <w:szCs w:val="22"/>
        </w:rPr>
      </w:pPr>
      <w:r>
        <w:rPr>
          <w:rFonts w:ascii="Arial" w:eastAsia="Arial" w:hAnsi="Arial" w:cs="Arial"/>
          <w:sz w:val="22"/>
          <w:szCs w:val="22"/>
        </w:rPr>
        <w:t xml:space="preserve">Naciones Unidas. (1989). </w:t>
      </w:r>
      <w:r>
        <w:rPr>
          <w:rFonts w:ascii="Arial" w:eastAsia="Arial" w:hAnsi="Arial" w:cs="Arial"/>
          <w:i/>
          <w:sz w:val="22"/>
          <w:szCs w:val="22"/>
        </w:rPr>
        <w:t>Convención sobre los Derechos del Niño</w:t>
      </w:r>
      <w:r>
        <w:rPr>
          <w:rFonts w:ascii="Arial" w:eastAsia="Arial" w:hAnsi="Arial" w:cs="Arial"/>
          <w:sz w:val="22"/>
          <w:szCs w:val="22"/>
        </w:rPr>
        <w:t xml:space="preserve">. </w:t>
      </w:r>
      <w:hyperlink r:id="rId22">
        <w:r>
          <w:rPr>
            <w:rFonts w:ascii="Arial" w:eastAsia="Arial" w:hAnsi="Arial" w:cs="Arial"/>
            <w:sz w:val="22"/>
            <w:szCs w:val="22"/>
          </w:rPr>
          <w:t>https://www.ohchr.org/es/instruments-mechanisms/instruments/convention-rights-child</w:t>
        </w:r>
      </w:hyperlink>
      <w:r>
        <w:rPr>
          <w:rFonts w:ascii="Arial" w:eastAsia="Arial" w:hAnsi="Arial" w:cs="Arial"/>
          <w:sz w:val="22"/>
          <w:szCs w:val="22"/>
        </w:rPr>
        <w:t xml:space="preserve"> </w:t>
      </w:r>
    </w:p>
    <w:p w:rsidR="0098634D" w:rsidRDefault="0098634D">
      <w:pPr>
        <w:jc w:val="both"/>
        <w:rPr>
          <w:rFonts w:ascii="Arial" w:eastAsia="Arial" w:hAnsi="Arial" w:cs="Arial"/>
          <w:sz w:val="22"/>
          <w:szCs w:val="22"/>
        </w:rPr>
      </w:pPr>
    </w:p>
    <w:p w:rsidR="0098634D" w:rsidRDefault="0098634D">
      <w:pPr>
        <w:jc w:val="both"/>
        <w:rPr>
          <w:rFonts w:ascii="Arial" w:eastAsia="Arial" w:hAnsi="Arial" w:cs="Arial"/>
          <w:sz w:val="22"/>
          <w:szCs w:val="22"/>
        </w:rPr>
      </w:pPr>
    </w:p>
    <w:p w:rsidR="0098634D" w:rsidRDefault="0098634D">
      <w:pPr>
        <w:jc w:val="both"/>
        <w:rPr>
          <w:rFonts w:ascii="Arial" w:eastAsia="Arial" w:hAnsi="Arial" w:cs="Arial"/>
          <w:sz w:val="22"/>
          <w:szCs w:val="22"/>
        </w:rPr>
      </w:pPr>
    </w:p>
    <w:p w:rsidR="0098634D" w:rsidRDefault="0098634D">
      <w:pPr>
        <w:jc w:val="both"/>
        <w:rPr>
          <w:rFonts w:ascii="Arial" w:eastAsia="Arial" w:hAnsi="Arial" w:cs="Arial"/>
          <w:sz w:val="22"/>
          <w:szCs w:val="22"/>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DF5BC3">
      <w:pPr>
        <w:jc w:val="both"/>
        <w:rPr>
          <w:rFonts w:ascii="Arial" w:eastAsia="Arial" w:hAnsi="Arial" w:cs="Arial"/>
          <w:b/>
        </w:rPr>
      </w:pPr>
      <w:r>
        <w:rPr>
          <w:rFonts w:ascii="Arial" w:eastAsia="Arial" w:hAnsi="Arial" w:cs="Arial"/>
          <w:b/>
        </w:rPr>
        <w:t>XI. PLIEGO DE MODIFICACIONES</w:t>
      </w:r>
    </w:p>
    <w:p w:rsidR="0098634D" w:rsidRDefault="0098634D">
      <w:pPr>
        <w:jc w:val="both"/>
        <w:rPr>
          <w:rFonts w:ascii="Arial" w:eastAsia="Arial" w:hAnsi="Arial" w:cs="Arial"/>
          <w:b/>
        </w:rPr>
      </w:pPr>
    </w:p>
    <w:p w:rsidR="0098634D" w:rsidRDefault="00DF5BC3">
      <w:pPr>
        <w:jc w:val="both"/>
        <w:rPr>
          <w:rFonts w:ascii="Arial" w:eastAsia="Arial" w:hAnsi="Arial" w:cs="Arial"/>
        </w:rPr>
      </w:pPr>
      <w:r>
        <w:rPr>
          <w:rFonts w:ascii="Arial" w:eastAsia="Arial" w:hAnsi="Arial" w:cs="Arial"/>
        </w:rPr>
        <w:t>A continuación, se encuentran las modificaciones propuestas en calidad de ponentes:</w:t>
      </w:r>
    </w:p>
    <w:p w:rsidR="0098634D" w:rsidRDefault="0098634D">
      <w:pPr>
        <w:jc w:val="both"/>
        <w:rPr>
          <w:rFonts w:ascii="Arial" w:eastAsia="Arial" w:hAnsi="Arial" w:cs="Arial"/>
        </w:rPr>
      </w:pPr>
    </w:p>
    <w:tbl>
      <w:tblPr>
        <w:tblStyle w:val="a6"/>
        <w:tblW w:w="909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0"/>
        <w:gridCol w:w="3119"/>
        <w:gridCol w:w="2871"/>
      </w:tblGrid>
      <w:tr w:rsidR="0098634D">
        <w:tc>
          <w:tcPr>
            <w:tcW w:w="3100" w:type="dxa"/>
            <w:shd w:val="clear" w:color="auto" w:fill="DBDBDB"/>
            <w:vAlign w:val="center"/>
          </w:tcPr>
          <w:p w:rsidR="0098634D" w:rsidRDefault="00DF5BC3">
            <w:pPr>
              <w:jc w:val="center"/>
              <w:rPr>
                <w:rFonts w:ascii="Arial" w:eastAsia="Arial" w:hAnsi="Arial" w:cs="Arial"/>
                <w:b/>
              </w:rPr>
            </w:pPr>
            <w:r>
              <w:rPr>
                <w:rFonts w:ascii="Arial" w:eastAsia="Arial" w:hAnsi="Arial" w:cs="Arial"/>
                <w:b/>
              </w:rPr>
              <w:t>TEXTO RADICADO</w:t>
            </w:r>
          </w:p>
        </w:tc>
        <w:tc>
          <w:tcPr>
            <w:tcW w:w="3119" w:type="dxa"/>
            <w:shd w:val="clear" w:color="auto" w:fill="DBDBDB"/>
            <w:vAlign w:val="center"/>
          </w:tcPr>
          <w:p w:rsidR="0098634D" w:rsidRDefault="00DF5BC3">
            <w:pPr>
              <w:jc w:val="center"/>
              <w:rPr>
                <w:rFonts w:ascii="Arial" w:eastAsia="Arial" w:hAnsi="Arial" w:cs="Arial"/>
                <w:b/>
              </w:rPr>
            </w:pPr>
            <w:r>
              <w:rPr>
                <w:rFonts w:ascii="Arial" w:eastAsia="Arial" w:hAnsi="Arial" w:cs="Arial"/>
                <w:b/>
              </w:rPr>
              <w:t>TEXTO PROPUESTO PARA PRIMER DEBATE</w:t>
            </w:r>
          </w:p>
        </w:tc>
        <w:tc>
          <w:tcPr>
            <w:tcW w:w="2871" w:type="dxa"/>
            <w:shd w:val="clear" w:color="auto" w:fill="DBDBDB"/>
            <w:vAlign w:val="center"/>
          </w:tcPr>
          <w:p w:rsidR="0098634D" w:rsidRDefault="00DF5BC3">
            <w:pPr>
              <w:jc w:val="center"/>
              <w:rPr>
                <w:rFonts w:ascii="Arial" w:eastAsia="Arial" w:hAnsi="Arial" w:cs="Arial"/>
                <w:b/>
              </w:rPr>
            </w:pPr>
            <w:r>
              <w:rPr>
                <w:rFonts w:ascii="Arial" w:eastAsia="Arial" w:hAnsi="Arial" w:cs="Arial"/>
                <w:b/>
              </w:rPr>
              <w:t>OBSERVACIONES</w:t>
            </w:r>
          </w:p>
        </w:tc>
      </w:tr>
      <w:tr w:rsidR="0098634D">
        <w:trPr>
          <w:trHeight w:val="2033"/>
        </w:trPr>
        <w:tc>
          <w:tcPr>
            <w:tcW w:w="3100" w:type="dxa"/>
          </w:tcPr>
          <w:p w:rsidR="0098634D" w:rsidRDefault="00DF5BC3">
            <w:pPr>
              <w:jc w:val="both"/>
              <w:rPr>
                <w:rFonts w:ascii="Arial" w:eastAsia="Arial" w:hAnsi="Arial" w:cs="Arial"/>
              </w:rPr>
            </w:pPr>
            <w:r>
              <w:rPr>
                <w:rFonts w:ascii="Arial" w:eastAsia="Arial" w:hAnsi="Arial" w:cs="Arial"/>
                <w:b/>
              </w:rPr>
              <w:t xml:space="preserve">ARTÍCULO 1º. OBJETO. </w:t>
            </w:r>
            <w:r>
              <w:rPr>
                <w:rFonts w:ascii="Arial" w:eastAsia="Arial" w:hAnsi="Arial" w:cs="Arial"/>
              </w:rPr>
              <w:t>El objeto del presente Acuerdo es exaltar la memoria de Jessica Liliana Ramírez Gaviria QEPD a través de medidas de reparación y no repetición, así como establecer los lineamientos para la formulación e implementación de la Estrategia Distrital de Atención Integral para Personas con Enfermedades Huérfanas, con el fin de aportar en la reducción de barreras y la dignificación de las condiciones de vida de esta población.</w:t>
            </w:r>
          </w:p>
        </w:tc>
        <w:tc>
          <w:tcPr>
            <w:tcW w:w="3119" w:type="dxa"/>
          </w:tcPr>
          <w:p w:rsidR="0098634D" w:rsidRDefault="00DF5BC3">
            <w:pPr>
              <w:jc w:val="both"/>
              <w:rPr>
                <w:rFonts w:ascii="Arial" w:eastAsia="Arial" w:hAnsi="Arial" w:cs="Arial"/>
              </w:rPr>
            </w:pPr>
            <w:r>
              <w:rPr>
                <w:rFonts w:ascii="Arial" w:eastAsia="Arial" w:hAnsi="Arial" w:cs="Arial"/>
                <w:b/>
              </w:rPr>
              <w:t xml:space="preserve">ARTÍCULO 1º. OBJETO. </w:t>
            </w:r>
            <w:r>
              <w:rPr>
                <w:rFonts w:ascii="Arial" w:eastAsia="Arial" w:hAnsi="Arial" w:cs="Arial"/>
              </w:rPr>
              <w:t>El objeto del presente Acuerdo es exaltar la memoria de Jessica Liliana Ramírez Gaviria QEPD a través de medidas de reparación y no repetición, así como establecer los lineamientos para la formulación e implementación de la Estrategia Distrital de Atención Integral para Personas con Enfermedades Huérfanas, con el fin de aportar en la reducción de barreras y la dignificación de las condiciones de vida de esta población.</w:t>
            </w:r>
          </w:p>
        </w:tc>
        <w:tc>
          <w:tcPr>
            <w:tcW w:w="2871" w:type="dxa"/>
          </w:tcPr>
          <w:p w:rsidR="0098634D" w:rsidRDefault="00DF5BC3">
            <w:pPr>
              <w:jc w:val="both"/>
              <w:rPr>
                <w:rFonts w:ascii="Arial" w:eastAsia="Arial" w:hAnsi="Arial" w:cs="Arial"/>
              </w:rPr>
            </w:pPr>
            <w:r>
              <w:rPr>
                <w:rFonts w:ascii="Arial" w:eastAsia="Arial" w:hAnsi="Arial" w:cs="Arial"/>
              </w:rPr>
              <w:t>No se modifica el artículo.</w:t>
            </w:r>
          </w:p>
        </w:tc>
      </w:tr>
      <w:tr w:rsidR="0098634D">
        <w:tc>
          <w:tcPr>
            <w:tcW w:w="3100" w:type="dxa"/>
          </w:tcPr>
          <w:p w:rsidR="0098634D" w:rsidRDefault="00DF5BC3">
            <w:pPr>
              <w:jc w:val="both"/>
              <w:rPr>
                <w:rFonts w:ascii="Arial" w:eastAsia="Arial" w:hAnsi="Arial" w:cs="Arial"/>
              </w:rPr>
            </w:pPr>
            <w:r>
              <w:rPr>
                <w:rFonts w:ascii="Arial" w:eastAsia="Arial" w:hAnsi="Arial" w:cs="Arial"/>
                <w:b/>
              </w:rPr>
              <w:t xml:space="preserve">ARTÍCULO 2º. LINEAMIENTOS ESTRATEGIA DISTRITAL DE ATENCIÓN INTEGRAL PARA PERSONAS CON ENFERMEDADES </w:t>
            </w:r>
            <w:r>
              <w:rPr>
                <w:rFonts w:ascii="Arial" w:eastAsia="Arial" w:hAnsi="Arial" w:cs="Arial"/>
                <w:b/>
              </w:rPr>
              <w:lastRenderedPageBreak/>
              <w:t>HUÉRFANAS.</w:t>
            </w:r>
            <w:r>
              <w:rPr>
                <w:rFonts w:ascii="Arial" w:eastAsia="Arial" w:hAnsi="Arial" w:cs="Arial"/>
              </w:rPr>
              <w:t xml:space="preserve"> La Administración Distrital, en cabeza del Sector Salud y en coordinación con las demás entidades competentes, formulará e implementará la Estrategia Distrital de Atención Integral para Personas con Enfermedades Huérfanas, teniendo en cuenta los siguientes lineamientos:</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1. Tratamiento adecuado, oportuno e integral. La Administración Distrital, garantizará un tratamiento adecuado, oportuno e integral para las personas con enfermedades huérfanas en el Distrito. Se propenderá por el acceso y accesibilidad a los servicios de salud, en especial a pruebas de diagnostico y seguimiento para las enfermedades huérfanas.</w:t>
            </w:r>
          </w:p>
          <w:p w:rsidR="0098634D" w:rsidRDefault="00DF5BC3">
            <w:pPr>
              <w:jc w:val="both"/>
              <w:rPr>
                <w:rFonts w:ascii="Arial" w:eastAsia="Arial" w:hAnsi="Arial" w:cs="Arial"/>
              </w:rPr>
            </w:pPr>
            <w:r>
              <w:rPr>
                <w:rFonts w:ascii="Arial" w:eastAsia="Arial" w:hAnsi="Arial" w:cs="Arial"/>
              </w:rPr>
              <w:t xml:space="preserve">2. Trato humanizado: La Administración Distrital, en cabeza de la Secretaría Distrital de Salud, realizará la formulación, implementación y evaluación de una política distrital de humanización de los servicios de salud para las personas con enfermedades huérfanas, que involucre a todos los niveles de la asistencia sanitaria y fortalezca la </w:t>
            </w:r>
            <w:r>
              <w:rPr>
                <w:rFonts w:ascii="Arial" w:eastAsia="Arial" w:hAnsi="Arial" w:cs="Arial"/>
              </w:rPr>
              <w:lastRenderedPageBreak/>
              <w:t xml:space="preserve">calidad de la atención sanitaria, que contemple, entre otras, las siguientes medidas.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a. La asistencia técnica por la Secretaría Distrital de Salud, para la formulación de programas y planes institucionales de humanización en salud que involucre a todos los niveles de asistencia sanitaria distrital. </w:t>
            </w:r>
          </w:p>
          <w:p w:rsidR="0098634D" w:rsidRDefault="00DF5BC3">
            <w:pPr>
              <w:jc w:val="both"/>
              <w:rPr>
                <w:rFonts w:ascii="Arial" w:eastAsia="Arial" w:hAnsi="Arial" w:cs="Arial"/>
              </w:rPr>
            </w:pPr>
            <w:r>
              <w:rPr>
                <w:rFonts w:ascii="Arial" w:eastAsia="Arial" w:hAnsi="Arial" w:cs="Arial"/>
              </w:rPr>
              <w:t xml:space="preserve">b. El respeto por los derechos de los pacientes, sin discriminación y con predominio de un enfoque diferencial, que mejore la experiencia de las personas en el sector salud de Bogotá y dé respuesta efectiva a las necesidades de las personas </w:t>
            </w:r>
          </w:p>
          <w:p w:rsidR="0098634D" w:rsidRDefault="00DF5BC3">
            <w:pPr>
              <w:jc w:val="both"/>
              <w:rPr>
                <w:rFonts w:ascii="Arial" w:eastAsia="Arial" w:hAnsi="Arial" w:cs="Arial"/>
              </w:rPr>
            </w:pPr>
            <w:r>
              <w:rPr>
                <w:rFonts w:ascii="Arial" w:eastAsia="Arial" w:hAnsi="Arial" w:cs="Arial"/>
              </w:rPr>
              <w:t xml:space="preserve">c. La capacitación al equipo de salud asistencial y administrativo, en torno a la humanización de servicios de salud para las Entidad Administradoras de Planes de Beneficios en Salud (EAPB), prestadores y demás implicados en los procesos de atención en salud, en el Distrito Capital. </w:t>
            </w:r>
          </w:p>
          <w:p w:rsidR="0098634D" w:rsidRDefault="00DF5BC3">
            <w:pPr>
              <w:jc w:val="both"/>
              <w:rPr>
                <w:rFonts w:ascii="Arial" w:eastAsia="Arial" w:hAnsi="Arial" w:cs="Arial"/>
              </w:rPr>
            </w:pPr>
            <w:r>
              <w:rPr>
                <w:rFonts w:ascii="Arial" w:eastAsia="Arial" w:hAnsi="Arial" w:cs="Arial"/>
              </w:rPr>
              <w:t xml:space="preserve">d. La cultura de la humanización en los servicios de salud centrada en las personas, promoviendo, no sólo cambios regulatorios, sino en actitudes, aptitudes, </w:t>
            </w:r>
            <w:r>
              <w:rPr>
                <w:rFonts w:ascii="Arial" w:eastAsia="Arial" w:hAnsi="Arial" w:cs="Arial"/>
              </w:rPr>
              <w:lastRenderedPageBreak/>
              <w:t xml:space="preserve">habilidades y competencias de todos los implicados en la asistencia sanitaria. </w:t>
            </w:r>
          </w:p>
          <w:p w:rsidR="0098634D" w:rsidRDefault="00DF5BC3">
            <w:pPr>
              <w:jc w:val="both"/>
              <w:rPr>
                <w:rFonts w:ascii="Arial" w:eastAsia="Arial" w:hAnsi="Arial" w:cs="Arial"/>
              </w:rPr>
            </w:pPr>
            <w:r>
              <w:rPr>
                <w:rFonts w:ascii="Arial" w:eastAsia="Arial" w:hAnsi="Arial" w:cs="Arial"/>
              </w:rPr>
              <w:t xml:space="preserve">e. La atención en salud digna, con ética a los pacientes y centrada en la persona, garantizando el acceso, la oportunidad, reducción de tiempos de espera, privacidad, derecho a la intimidad. </w:t>
            </w:r>
          </w:p>
          <w:p w:rsidR="0098634D" w:rsidRDefault="00DF5BC3">
            <w:pPr>
              <w:jc w:val="both"/>
              <w:rPr>
                <w:rFonts w:ascii="Arial" w:eastAsia="Arial" w:hAnsi="Arial" w:cs="Arial"/>
              </w:rPr>
            </w:pPr>
            <w:r>
              <w:rPr>
                <w:rFonts w:ascii="Arial" w:eastAsia="Arial" w:hAnsi="Arial" w:cs="Arial"/>
              </w:rPr>
              <w:t xml:space="preserve">f. Estrategias de cuidado acorde al ciclo de vida y manejo de las patologías. </w:t>
            </w:r>
          </w:p>
          <w:p w:rsidR="0098634D" w:rsidRDefault="00DF5BC3">
            <w:pPr>
              <w:jc w:val="both"/>
              <w:rPr>
                <w:rFonts w:ascii="Arial" w:eastAsia="Arial" w:hAnsi="Arial" w:cs="Arial"/>
              </w:rPr>
            </w:pPr>
            <w:r>
              <w:rPr>
                <w:rFonts w:ascii="Arial" w:eastAsia="Arial" w:hAnsi="Arial" w:cs="Arial"/>
              </w:rPr>
              <w:t xml:space="preserve">g. Estrategias de humanización en la salud mental. </w:t>
            </w:r>
          </w:p>
          <w:p w:rsidR="0098634D" w:rsidRDefault="00DF5BC3">
            <w:pPr>
              <w:jc w:val="both"/>
              <w:rPr>
                <w:rFonts w:ascii="Arial" w:eastAsia="Arial" w:hAnsi="Arial" w:cs="Arial"/>
              </w:rPr>
            </w:pPr>
            <w:r>
              <w:rPr>
                <w:rFonts w:ascii="Arial" w:eastAsia="Arial" w:hAnsi="Arial" w:cs="Arial"/>
              </w:rPr>
              <w:t xml:space="preserve">h. Diseño de ambientes físicos humanizados y seguros. </w:t>
            </w:r>
          </w:p>
          <w:p w:rsidR="0098634D" w:rsidRDefault="00DF5BC3">
            <w:pPr>
              <w:jc w:val="both"/>
              <w:rPr>
                <w:rFonts w:ascii="Arial" w:eastAsia="Arial" w:hAnsi="Arial" w:cs="Arial"/>
              </w:rPr>
            </w:pPr>
            <w:r>
              <w:rPr>
                <w:rFonts w:ascii="Arial" w:eastAsia="Arial" w:hAnsi="Arial" w:cs="Arial"/>
              </w:rPr>
              <w:t xml:space="preserve">i. Difusión de Experiencias exitosas de humanización en el Distrito Capital. </w:t>
            </w:r>
          </w:p>
          <w:p w:rsidR="0098634D" w:rsidRDefault="00DF5BC3">
            <w:pPr>
              <w:jc w:val="both"/>
              <w:rPr>
                <w:rFonts w:ascii="Arial" w:eastAsia="Arial" w:hAnsi="Arial" w:cs="Arial"/>
              </w:rPr>
            </w:pPr>
            <w:r>
              <w:rPr>
                <w:rFonts w:ascii="Arial" w:eastAsia="Arial" w:hAnsi="Arial" w:cs="Arial"/>
              </w:rPr>
              <w:t xml:space="preserve">j. Alianzas estratégicas de los implicados en la asistencia sanitaria para propiciar una atención humanizada integral. </w:t>
            </w:r>
          </w:p>
          <w:p w:rsidR="0098634D" w:rsidRDefault="00DF5BC3">
            <w:pPr>
              <w:jc w:val="both"/>
              <w:rPr>
                <w:rFonts w:ascii="Arial" w:eastAsia="Arial" w:hAnsi="Arial" w:cs="Arial"/>
              </w:rPr>
            </w:pPr>
            <w:r>
              <w:rPr>
                <w:rFonts w:ascii="Arial" w:eastAsia="Arial" w:hAnsi="Arial" w:cs="Arial"/>
              </w:rPr>
              <w:t xml:space="preserve">k. La participación de los pacientes y sus familias en el desarrollo de las estrategias de humanización. </w:t>
            </w:r>
          </w:p>
          <w:p w:rsidR="0098634D" w:rsidRDefault="00DF5BC3">
            <w:pPr>
              <w:jc w:val="both"/>
              <w:rPr>
                <w:rFonts w:ascii="Arial" w:eastAsia="Arial" w:hAnsi="Arial" w:cs="Arial"/>
              </w:rPr>
            </w:pPr>
            <w:r>
              <w:rPr>
                <w:rFonts w:ascii="Arial" w:eastAsia="Arial" w:hAnsi="Arial" w:cs="Arial"/>
              </w:rPr>
              <w:t xml:space="preserve"> </w:t>
            </w:r>
          </w:p>
          <w:p w:rsidR="0098634D" w:rsidRDefault="00DF5BC3">
            <w:pPr>
              <w:jc w:val="both"/>
              <w:rPr>
                <w:rFonts w:ascii="Arial" w:eastAsia="Arial" w:hAnsi="Arial" w:cs="Arial"/>
              </w:rPr>
            </w:pPr>
            <w:r>
              <w:rPr>
                <w:rFonts w:ascii="Arial" w:eastAsia="Arial" w:hAnsi="Arial" w:cs="Arial"/>
              </w:rPr>
              <w:t xml:space="preserve">3. Atención psicosocial. Ofrecer en las Subredes Integradas de Servicios de Salud E.S.E. o las que hagan sus veces un plan especializado e integral de atención psicosocial con </w:t>
            </w:r>
            <w:r>
              <w:rPr>
                <w:rFonts w:ascii="Arial" w:eastAsia="Arial" w:hAnsi="Arial" w:cs="Arial"/>
              </w:rPr>
              <w:lastRenderedPageBreak/>
              <w:t>controles periódicos para las personas con enfermedades huérfanas, sus familias y cuidadores.</w:t>
            </w:r>
          </w:p>
          <w:p w:rsidR="0098634D" w:rsidRDefault="00DF5BC3">
            <w:pPr>
              <w:jc w:val="both"/>
              <w:rPr>
                <w:rFonts w:ascii="Arial" w:eastAsia="Arial" w:hAnsi="Arial" w:cs="Arial"/>
              </w:rPr>
            </w:pPr>
            <w:r>
              <w:rPr>
                <w:rFonts w:ascii="Arial" w:eastAsia="Arial" w:hAnsi="Arial" w:cs="Arial"/>
              </w:rPr>
              <w:t xml:space="preserve">4. Asesoría genética. Brindar en las Subredes Integradas de Servicios de Salud E.S.E. del Distrito Capital o las que hagan sus veces asesoría genética y acompañamiento por parte de profesionales de esta especialidad a pacientes y familias con diagnóstico de enfermedades huérfanas. </w:t>
            </w:r>
          </w:p>
          <w:p w:rsidR="0098634D" w:rsidRDefault="00DF5BC3">
            <w:pPr>
              <w:jc w:val="both"/>
              <w:rPr>
                <w:rFonts w:ascii="Arial" w:eastAsia="Arial" w:hAnsi="Arial" w:cs="Arial"/>
              </w:rPr>
            </w:pPr>
            <w:r>
              <w:rPr>
                <w:rFonts w:ascii="Arial" w:eastAsia="Arial" w:hAnsi="Arial" w:cs="Arial"/>
              </w:rPr>
              <w:t xml:space="preserve">5. Inclusión social y laboral. Otorgar prioridad a las personas con enfermedades huérfanas en el acceso a planes, programas, estrategias, proyectos, acciones y convocatorias ofertadas por el Distrito que otorguen beneficios, subvenciones o incentivos de empleo, emprendimiento, vivienda, educación, entre otros, propiciando así su inclusión social, generación de ingresos y materialización de su proyecto de vida. </w:t>
            </w:r>
          </w:p>
          <w:p w:rsidR="0098634D" w:rsidRDefault="00DF5BC3">
            <w:pPr>
              <w:jc w:val="both"/>
              <w:rPr>
                <w:rFonts w:ascii="Arial" w:eastAsia="Arial" w:hAnsi="Arial" w:cs="Arial"/>
              </w:rPr>
            </w:pPr>
            <w:r>
              <w:rPr>
                <w:rFonts w:ascii="Arial" w:eastAsia="Arial" w:hAnsi="Arial" w:cs="Arial"/>
              </w:rPr>
              <w:t xml:space="preserve">6. Inclusión educativa. La Administración Distrital, en cabeza de la Secretaría de Educación Distrital, implementará. programas y proyectos enfocados en las personas con enfermedades huérfanas. Asi mismo, garantizará un </w:t>
            </w:r>
            <w:r>
              <w:rPr>
                <w:rFonts w:ascii="Arial" w:eastAsia="Arial" w:hAnsi="Arial" w:cs="Arial"/>
              </w:rPr>
              <w:lastRenderedPageBreak/>
              <w:t xml:space="preserve">porcentaje mínimo de cupos escolares a la población con enfermedades huérfanas, no solo a nivel de primaria y secundaria, sino también a quienes pretendan adelantar sus estudios universitarios. </w:t>
            </w:r>
          </w:p>
          <w:p w:rsidR="0098634D" w:rsidRDefault="00DF5BC3">
            <w:pPr>
              <w:jc w:val="both"/>
              <w:rPr>
                <w:rFonts w:ascii="Arial" w:eastAsia="Arial" w:hAnsi="Arial" w:cs="Arial"/>
              </w:rPr>
            </w:pPr>
            <w:r>
              <w:rPr>
                <w:rFonts w:ascii="Arial" w:eastAsia="Arial" w:hAnsi="Arial" w:cs="Arial"/>
              </w:rPr>
              <w:t xml:space="preserve">7. Sensibilización. Implementar por la Administración Distrital, en cabeza de la Secretaría Distrital de Salud, la Secretaría de Educación del Distrito y la Secretaría de Cultura, Recreación y Deporte, campañas de sensibilización innovadoras, periódicas y con diseño universal dirigidas a la ciudadanía en general que concienticen sobre las enfermedades huérfanas, enfatizando en la valía, las capacidades y los talentos de las personas que viven con ellas, como también previniendo su estigmatización. </w:t>
            </w:r>
          </w:p>
          <w:p w:rsidR="0098634D" w:rsidRDefault="00DF5BC3">
            <w:pPr>
              <w:jc w:val="both"/>
              <w:rPr>
                <w:rFonts w:ascii="Arial" w:eastAsia="Arial" w:hAnsi="Arial" w:cs="Arial"/>
              </w:rPr>
            </w:pPr>
            <w:r>
              <w:rPr>
                <w:rFonts w:ascii="Arial" w:eastAsia="Arial" w:hAnsi="Arial" w:cs="Arial"/>
              </w:rPr>
              <w:t xml:space="preserve">8. Guía de práctica clínica. Realizar las gestiones y alianzas necesarias con el Gobierno Nacional para la elaboración y aplicación de guías de práctica clínica para el diagnóstico y tratamiento de enfermedades huérfanas en las Subredes Integradas de Servicios de </w:t>
            </w:r>
            <w:r>
              <w:rPr>
                <w:rFonts w:ascii="Arial" w:eastAsia="Arial" w:hAnsi="Arial" w:cs="Arial"/>
              </w:rPr>
              <w:lastRenderedPageBreak/>
              <w:t xml:space="preserve">Salud E.S.E. del Distrito Capital o las que hagan sus veces. </w:t>
            </w:r>
          </w:p>
          <w:p w:rsidR="0098634D" w:rsidRDefault="00DF5BC3">
            <w:pPr>
              <w:jc w:val="both"/>
              <w:rPr>
                <w:rFonts w:ascii="Arial" w:eastAsia="Arial" w:hAnsi="Arial" w:cs="Arial"/>
              </w:rPr>
            </w:pPr>
            <w:r>
              <w:rPr>
                <w:rFonts w:ascii="Arial" w:eastAsia="Arial" w:hAnsi="Arial" w:cs="Arial"/>
              </w:rPr>
              <w:t xml:space="preserve">9. Centros de excelencia. Ejecutar las acciones pertinentes para que en el mediano plazo en la red hospitalaria de la ciudad se cuente con al menos un (1) centro de excelencia médica para el diagnóstico y tratamiento de epidermólisis bullosa que sirva como piloto para que posteriormente se amplíe a las demás enfermedades huérfanas. </w:t>
            </w:r>
          </w:p>
          <w:p w:rsidR="0098634D" w:rsidRDefault="00DF5BC3">
            <w:pPr>
              <w:jc w:val="both"/>
              <w:rPr>
                <w:rFonts w:ascii="Arial" w:eastAsia="Arial" w:hAnsi="Arial" w:cs="Arial"/>
                <w:b/>
              </w:rPr>
            </w:pPr>
            <w:r>
              <w:rPr>
                <w:rFonts w:ascii="Arial" w:eastAsia="Arial" w:hAnsi="Arial" w:cs="Arial"/>
              </w:rPr>
              <w:t>10. Investigación y transferencia de conocimiento. Fomentar y apoyar el desarrollo de investigaciones y transferencia de conocimiento de la información en salud en enfermedades huérfanas en la ciudad.</w:t>
            </w:r>
          </w:p>
        </w:tc>
        <w:tc>
          <w:tcPr>
            <w:tcW w:w="3119" w:type="dxa"/>
          </w:tcPr>
          <w:p w:rsidR="0098634D" w:rsidRDefault="00DF5BC3">
            <w:pPr>
              <w:jc w:val="both"/>
              <w:rPr>
                <w:rFonts w:ascii="Arial" w:eastAsia="Arial" w:hAnsi="Arial" w:cs="Arial"/>
              </w:rPr>
            </w:pPr>
            <w:r>
              <w:rPr>
                <w:rFonts w:ascii="Arial" w:eastAsia="Arial" w:hAnsi="Arial" w:cs="Arial"/>
                <w:b/>
              </w:rPr>
              <w:lastRenderedPageBreak/>
              <w:t xml:space="preserve">ARTÍCULO 2º. LINEAMIENTOS ESTRATEGIA DISTRITAL DE ATENCIÓN INTEGRAL PARA PERSONAS CON ENFERMEDADES </w:t>
            </w:r>
            <w:r>
              <w:rPr>
                <w:rFonts w:ascii="Arial" w:eastAsia="Arial" w:hAnsi="Arial" w:cs="Arial"/>
                <w:b/>
              </w:rPr>
              <w:lastRenderedPageBreak/>
              <w:t>HUÉRFANAS.</w:t>
            </w:r>
            <w:r>
              <w:rPr>
                <w:rFonts w:ascii="Arial" w:eastAsia="Arial" w:hAnsi="Arial" w:cs="Arial"/>
              </w:rPr>
              <w:t xml:space="preserve"> La Administración Distrital, en cabeza del Sector Salud y en coordinación con las demás entidades competentes, formulará e implementará la Estrategia Distrital de Atención Integral para Personas con Enfermedades Huérfanas, teniendo en cuenta los siguientes lineamientos:</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1. Tratamiento adecuado, oportuno e integral. La Administración Distrital, garantizará un tratamiento adecuado, oportuno e integral para las personas con enfermedades huérfanas en el Distrito. Se propenderá por el acceso y accesibilidad a los servicios de salud, en especial a pruebas de diagnóstico y seguimiento para las enfermedades huérfanas.</w:t>
            </w:r>
          </w:p>
          <w:p w:rsidR="0098634D" w:rsidRDefault="00DF5BC3">
            <w:pPr>
              <w:jc w:val="both"/>
              <w:rPr>
                <w:rFonts w:ascii="Arial" w:eastAsia="Arial" w:hAnsi="Arial" w:cs="Arial"/>
              </w:rPr>
            </w:pPr>
            <w:r>
              <w:rPr>
                <w:rFonts w:ascii="Arial" w:eastAsia="Arial" w:hAnsi="Arial" w:cs="Arial"/>
              </w:rPr>
              <w:t xml:space="preserve">2. Trato humanizado: La Administración Distrital, en cabeza de la Secretaría Distrital de Salud, realizará la formulación, implementación y evaluación de una política distrital de humanización de los servicios de salud para las personas con enfermedades huérfanas, que involucre a todos los niveles de la asistencia sanitaria y fortalezca la calidad de la atención </w:t>
            </w:r>
            <w:r>
              <w:rPr>
                <w:rFonts w:ascii="Arial" w:eastAsia="Arial" w:hAnsi="Arial" w:cs="Arial"/>
              </w:rPr>
              <w:lastRenderedPageBreak/>
              <w:t xml:space="preserve">sanitaria, que contemple, entre otras, las siguientes medidas.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a. La asistencia técnica por la Secretaría Distrital de Salud, para la formulación de programas y planes institucionales de humanización en salud que involucre a todos los niveles de asistencia sanitaria distrital. </w:t>
            </w:r>
          </w:p>
          <w:p w:rsidR="0098634D" w:rsidRDefault="00DF5BC3">
            <w:pPr>
              <w:jc w:val="both"/>
              <w:rPr>
                <w:rFonts w:ascii="Arial" w:eastAsia="Arial" w:hAnsi="Arial" w:cs="Arial"/>
                <w:color w:val="FF0000"/>
                <w:u w:val="single"/>
              </w:rPr>
            </w:pPr>
            <w:r>
              <w:rPr>
                <w:rFonts w:ascii="Arial" w:eastAsia="Arial" w:hAnsi="Arial" w:cs="Arial"/>
              </w:rPr>
              <w:t xml:space="preserve">b. El respeto por los derechos de los pacientes, sin discriminación y con predominio de un enfoque diferencial </w:t>
            </w:r>
            <w:r>
              <w:rPr>
                <w:rFonts w:ascii="Arial" w:eastAsia="Arial" w:hAnsi="Arial" w:cs="Arial"/>
                <w:color w:val="FF0000"/>
                <w:u w:val="single"/>
              </w:rPr>
              <w:t>y de género</w:t>
            </w:r>
            <w:r>
              <w:rPr>
                <w:rFonts w:ascii="Arial" w:eastAsia="Arial" w:hAnsi="Arial" w:cs="Arial"/>
              </w:rPr>
              <w:t xml:space="preserve"> que mejore la experiencia de las personas en el sector salud de Bogotá y dé respuesta efectiva a las necesidades de las personas, </w:t>
            </w:r>
            <w:r>
              <w:rPr>
                <w:rFonts w:ascii="Arial" w:eastAsia="Arial" w:hAnsi="Arial" w:cs="Arial"/>
                <w:color w:val="FF0000"/>
                <w:u w:val="single"/>
              </w:rPr>
              <w:t xml:space="preserve">prestando especial atención a los casos en donde estén involucrados niños, niñas y adolescentes. </w:t>
            </w:r>
          </w:p>
          <w:p w:rsidR="0098634D" w:rsidRDefault="00DF5BC3">
            <w:pPr>
              <w:jc w:val="both"/>
              <w:rPr>
                <w:rFonts w:ascii="Arial" w:eastAsia="Arial" w:hAnsi="Arial" w:cs="Arial"/>
              </w:rPr>
            </w:pPr>
            <w:r>
              <w:rPr>
                <w:rFonts w:ascii="Arial" w:eastAsia="Arial" w:hAnsi="Arial" w:cs="Arial"/>
              </w:rPr>
              <w:t xml:space="preserve">c. La capacitación al equipo de salud asistencial y administrativo, en torno a la humanización de servicios de salud para las Entidad Administradoras de Planes de Beneficios en Salud (EAPB), prestadores y demás implicados en los procesos de atención en salud, en el Distrito Capital. </w:t>
            </w:r>
          </w:p>
          <w:p w:rsidR="0098634D" w:rsidRDefault="00DF5BC3">
            <w:pPr>
              <w:jc w:val="both"/>
              <w:rPr>
                <w:rFonts w:ascii="Arial" w:eastAsia="Arial" w:hAnsi="Arial" w:cs="Arial"/>
              </w:rPr>
            </w:pPr>
            <w:r>
              <w:rPr>
                <w:rFonts w:ascii="Arial" w:eastAsia="Arial" w:hAnsi="Arial" w:cs="Arial"/>
              </w:rPr>
              <w:t xml:space="preserve">d. La cultura de la humanización en los servicios de salud centrada </w:t>
            </w:r>
            <w:r>
              <w:rPr>
                <w:rFonts w:ascii="Arial" w:eastAsia="Arial" w:hAnsi="Arial" w:cs="Arial"/>
              </w:rPr>
              <w:lastRenderedPageBreak/>
              <w:t xml:space="preserve">en las personas, promoviendo, no sólo cambios regulatorios, sino en actitudes, aptitudes, habilidades y competencias de todos los implicados en la asistencia sanitaria. </w:t>
            </w:r>
          </w:p>
          <w:p w:rsidR="0098634D" w:rsidRDefault="00DF5BC3">
            <w:pPr>
              <w:jc w:val="both"/>
              <w:rPr>
                <w:rFonts w:ascii="Arial" w:eastAsia="Arial" w:hAnsi="Arial" w:cs="Arial"/>
              </w:rPr>
            </w:pPr>
            <w:r>
              <w:rPr>
                <w:rFonts w:ascii="Arial" w:eastAsia="Arial" w:hAnsi="Arial" w:cs="Arial"/>
              </w:rPr>
              <w:t xml:space="preserve">e. La atención en salud digna, con ética a los pacientes y centrada en la persona, garantizando el acceso, la oportunidad, reducción de tiempos de espera, privacidad, derecho a la intimidad. </w:t>
            </w:r>
          </w:p>
          <w:p w:rsidR="0098634D" w:rsidRDefault="00DF5BC3">
            <w:pPr>
              <w:jc w:val="both"/>
              <w:rPr>
                <w:rFonts w:ascii="Arial" w:eastAsia="Arial" w:hAnsi="Arial" w:cs="Arial"/>
              </w:rPr>
            </w:pPr>
            <w:r>
              <w:rPr>
                <w:rFonts w:ascii="Arial" w:eastAsia="Arial" w:hAnsi="Arial" w:cs="Arial"/>
              </w:rPr>
              <w:t xml:space="preserve">f. Estrategias de cuidado </w:t>
            </w:r>
            <w:r>
              <w:rPr>
                <w:rFonts w:ascii="Arial" w:eastAsia="Arial" w:hAnsi="Arial" w:cs="Arial"/>
                <w:color w:val="000000"/>
              </w:rPr>
              <w:t>acorde</w:t>
            </w:r>
            <w:r>
              <w:rPr>
                <w:rFonts w:ascii="Arial" w:eastAsia="Arial" w:hAnsi="Arial" w:cs="Arial"/>
                <w:color w:val="FF0000"/>
                <w:u w:val="single"/>
              </w:rPr>
              <w:t>s al género, la edad y al</w:t>
            </w:r>
            <w:r>
              <w:rPr>
                <w:rFonts w:ascii="Arial" w:eastAsia="Arial" w:hAnsi="Arial" w:cs="Arial"/>
              </w:rPr>
              <w:t xml:space="preserve"> ciclo de vida </w:t>
            </w:r>
            <w:r>
              <w:rPr>
                <w:rFonts w:ascii="Arial" w:eastAsia="Arial" w:hAnsi="Arial" w:cs="Arial"/>
                <w:color w:val="FF0000"/>
                <w:u w:val="single"/>
              </w:rPr>
              <w:t>del paciente</w:t>
            </w:r>
            <w:r>
              <w:rPr>
                <w:rFonts w:ascii="Arial" w:eastAsia="Arial" w:hAnsi="Arial" w:cs="Arial"/>
              </w:rPr>
              <w:t xml:space="preserve"> y </w:t>
            </w:r>
            <w:r>
              <w:rPr>
                <w:rFonts w:ascii="Arial" w:eastAsia="Arial" w:hAnsi="Arial" w:cs="Arial"/>
                <w:color w:val="FF0000"/>
                <w:u w:val="single"/>
              </w:rPr>
              <w:t>el</w:t>
            </w:r>
            <w:r>
              <w:rPr>
                <w:rFonts w:ascii="Arial" w:eastAsia="Arial" w:hAnsi="Arial" w:cs="Arial"/>
              </w:rPr>
              <w:t xml:space="preserve"> manejo de las patologías. </w:t>
            </w:r>
          </w:p>
          <w:p w:rsidR="0098634D" w:rsidRDefault="00DF5BC3">
            <w:pPr>
              <w:jc w:val="both"/>
              <w:rPr>
                <w:rFonts w:ascii="Arial" w:eastAsia="Arial" w:hAnsi="Arial" w:cs="Arial"/>
              </w:rPr>
            </w:pPr>
            <w:r>
              <w:rPr>
                <w:rFonts w:ascii="Arial" w:eastAsia="Arial" w:hAnsi="Arial" w:cs="Arial"/>
              </w:rPr>
              <w:t xml:space="preserve">g. Estrategias de humanización en la salud mental. </w:t>
            </w:r>
          </w:p>
          <w:p w:rsidR="0098634D" w:rsidRDefault="00DF5BC3">
            <w:pPr>
              <w:jc w:val="both"/>
              <w:rPr>
                <w:rFonts w:ascii="Arial" w:eastAsia="Arial" w:hAnsi="Arial" w:cs="Arial"/>
              </w:rPr>
            </w:pPr>
            <w:r>
              <w:rPr>
                <w:rFonts w:ascii="Arial" w:eastAsia="Arial" w:hAnsi="Arial" w:cs="Arial"/>
              </w:rPr>
              <w:t xml:space="preserve">h. Diseño de ambientes físicos humanizados y seguros. </w:t>
            </w:r>
          </w:p>
          <w:p w:rsidR="0098634D" w:rsidRDefault="00DF5BC3">
            <w:pPr>
              <w:jc w:val="both"/>
              <w:rPr>
                <w:rFonts w:ascii="Arial" w:eastAsia="Arial" w:hAnsi="Arial" w:cs="Arial"/>
              </w:rPr>
            </w:pPr>
            <w:r>
              <w:rPr>
                <w:rFonts w:ascii="Arial" w:eastAsia="Arial" w:hAnsi="Arial" w:cs="Arial"/>
              </w:rPr>
              <w:t xml:space="preserve">i. Difusión de Experiencias exitosas de humanización en el Distrito Capital. </w:t>
            </w:r>
          </w:p>
          <w:p w:rsidR="0098634D" w:rsidRDefault="00DF5BC3">
            <w:pPr>
              <w:jc w:val="both"/>
              <w:rPr>
                <w:rFonts w:ascii="Arial" w:eastAsia="Arial" w:hAnsi="Arial" w:cs="Arial"/>
              </w:rPr>
            </w:pPr>
            <w:r>
              <w:rPr>
                <w:rFonts w:ascii="Arial" w:eastAsia="Arial" w:hAnsi="Arial" w:cs="Arial"/>
              </w:rPr>
              <w:t xml:space="preserve">j. Alianzas estratégicas de los implicados en la asistencia sanitaria para propiciar una atención humanizada integral. </w:t>
            </w:r>
          </w:p>
          <w:p w:rsidR="0098634D" w:rsidRDefault="00DF5BC3">
            <w:pPr>
              <w:jc w:val="both"/>
              <w:rPr>
                <w:rFonts w:ascii="Arial" w:eastAsia="Arial" w:hAnsi="Arial" w:cs="Arial"/>
              </w:rPr>
            </w:pPr>
            <w:r>
              <w:rPr>
                <w:rFonts w:ascii="Arial" w:eastAsia="Arial" w:hAnsi="Arial" w:cs="Arial"/>
              </w:rPr>
              <w:t xml:space="preserve">k. La participación de los pacientes y sus familias en el desarrollo de las estrategias de humanización. </w:t>
            </w:r>
          </w:p>
          <w:p w:rsidR="0098634D" w:rsidRDefault="00DF5BC3">
            <w:pPr>
              <w:jc w:val="both"/>
              <w:rPr>
                <w:rFonts w:ascii="Arial" w:eastAsia="Arial" w:hAnsi="Arial" w:cs="Arial"/>
              </w:rPr>
            </w:pPr>
            <w:r>
              <w:rPr>
                <w:rFonts w:ascii="Arial" w:eastAsia="Arial" w:hAnsi="Arial" w:cs="Arial"/>
              </w:rPr>
              <w:t xml:space="preserve"> </w:t>
            </w:r>
          </w:p>
          <w:p w:rsidR="0098634D" w:rsidRDefault="00DF5BC3">
            <w:pPr>
              <w:jc w:val="both"/>
              <w:rPr>
                <w:rFonts w:ascii="Arial" w:eastAsia="Arial" w:hAnsi="Arial" w:cs="Arial"/>
              </w:rPr>
            </w:pPr>
            <w:r>
              <w:rPr>
                <w:rFonts w:ascii="Arial" w:eastAsia="Arial" w:hAnsi="Arial" w:cs="Arial"/>
              </w:rPr>
              <w:lastRenderedPageBreak/>
              <w:t>3. Atención psicosocial. Ofrecer en las Subredes Integradas de Servicios de Salud E.S.E. o las que hagan sus veces un plan especializado e integral de atención psicosocial con controles periódicos para las personas con enfermedades huérfanas, sus familias y cuidadores.</w:t>
            </w:r>
          </w:p>
          <w:p w:rsidR="0098634D" w:rsidRDefault="00DF5BC3">
            <w:pPr>
              <w:jc w:val="both"/>
              <w:rPr>
                <w:rFonts w:ascii="Arial" w:eastAsia="Arial" w:hAnsi="Arial" w:cs="Arial"/>
              </w:rPr>
            </w:pPr>
            <w:r>
              <w:rPr>
                <w:rFonts w:ascii="Arial" w:eastAsia="Arial" w:hAnsi="Arial" w:cs="Arial"/>
              </w:rPr>
              <w:t xml:space="preserve">4. Asesoría genética. Brindar en las Subredes Integradas de Servicios de Salud E.S.E. del Distrito Capital o las que hagan sus veces asesoría genética y acompañamiento por parte de profesionales de esta especialidad a pacientes y familias con diagnóstico de enfermedades huérfanas. </w:t>
            </w:r>
          </w:p>
          <w:p w:rsidR="0098634D" w:rsidRDefault="00DF5BC3">
            <w:pPr>
              <w:jc w:val="both"/>
              <w:rPr>
                <w:rFonts w:ascii="Arial" w:eastAsia="Arial" w:hAnsi="Arial" w:cs="Arial"/>
              </w:rPr>
            </w:pPr>
            <w:r>
              <w:rPr>
                <w:rFonts w:ascii="Arial" w:eastAsia="Arial" w:hAnsi="Arial" w:cs="Arial"/>
              </w:rPr>
              <w:t xml:space="preserve">5. Inclusión social y laboral. Otorgar prioridad a las personas con enfermedades huérfanas en el acceso a planes, programas, estrategias, proyectos, acciones y convocatorias ofertadas por el Distrito que otorguen beneficios, subvenciones o incentivos de empleo, emprendimiento, vivienda, educación, entre otros, propiciando así su inclusión social, generación de ingresos y materialización de su proyecto de vida. </w:t>
            </w:r>
          </w:p>
          <w:p w:rsidR="0098634D" w:rsidRDefault="00DF5BC3">
            <w:pPr>
              <w:jc w:val="both"/>
              <w:rPr>
                <w:rFonts w:ascii="Arial" w:eastAsia="Arial" w:hAnsi="Arial" w:cs="Arial"/>
              </w:rPr>
            </w:pPr>
            <w:r>
              <w:rPr>
                <w:rFonts w:ascii="Arial" w:eastAsia="Arial" w:hAnsi="Arial" w:cs="Arial"/>
              </w:rPr>
              <w:t xml:space="preserve">6. Inclusión educativa. La Administración Distrital, en cabeza de la Secretaría de </w:t>
            </w:r>
            <w:r>
              <w:rPr>
                <w:rFonts w:ascii="Arial" w:eastAsia="Arial" w:hAnsi="Arial" w:cs="Arial"/>
              </w:rPr>
              <w:lastRenderedPageBreak/>
              <w:t xml:space="preserve">Educación Distrital, implementará. programas y proyectos enfocados en las personas con enfermedades huérfanas. Asi mismo, garantizará un porcentaje mínimo de cupos escolares a la población con enfermedades huérfanas, no solo a nivel de primaria y secundaria, sino también a quienes pretendan adelantar sus estudios universitarios. </w:t>
            </w:r>
          </w:p>
          <w:p w:rsidR="0098634D" w:rsidRDefault="00DF5BC3">
            <w:pPr>
              <w:jc w:val="both"/>
              <w:rPr>
                <w:rFonts w:ascii="Arial" w:eastAsia="Arial" w:hAnsi="Arial" w:cs="Arial"/>
              </w:rPr>
            </w:pPr>
            <w:r>
              <w:rPr>
                <w:rFonts w:ascii="Arial" w:eastAsia="Arial" w:hAnsi="Arial" w:cs="Arial"/>
              </w:rPr>
              <w:t xml:space="preserve">7. Sensibilización. Implementar por la Administración Distrital, en cabeza de la Secretaría Distrital de Salud, la Secretaría de Educación del Distrito y la Secretaría de Cultura, Recreación y Deporte, campañas de sensibilización innovadoras, periódicas y con diseño universal dirigidas a la ciudadanía en general que concienticen sobre las enfermedades huérfanas, enfatizando en la valía, las capacidades y los talentos de las personas que viven con ellas, como también previniendo su estigmatización. </w:t>
            </w:r>
          </w:p>
          <w:p w:rsidR="0098634D" w:rsidRDefault="00DF5BC3">
            <w:pPr>
              <w:jc w:val="both"/>
              <w:rPr>
                <w:rFonts w:ascii="Arial" w:eastAsia="Arial" w:hAnsi="Arial" w:cs="Arial"/>
              </w:rPr>
            </w:pPr>
            <w:r>
              <w:rPr>
                <w:rFonts w:ascii="Arial" w:eastAsia="Arial" w:hAnsi="Arial" w:cs="Arial"/>
              </w:rPr>
              <w:t xml:space="preserve">8. Guía de práctica clínica. Realizar las gestiones y alianzas necesarias con el Gobierno Nacional para la elaboración y aplicación de </w:t>
            </w:r>
            <w:r>
              <w:rPr>
                <w:rFonts w:ascii="Arial" w:eastAsia="Arial" w:hAnsi="Arial" w:cs="Arial"/>
              </w:rPr>
              <w:lastRenderedPageBreak/>
              <w:t xml:space="preserve">guías de práctica clínica actualizadas para el diagnóstico y tratamiento de enfermedades huérfanas en las Subredes Integradas de Servicios de Salud E.S.E. del Distrito Capital o las que hagan sus veces. </w:t>
            </w:r>
          </w:p>
          <w:p w:rsidR="0098634D" w:rsidRDefault="00DF5BC3">
            <w:pPr>
              <w:jc w:val="both"/>
              <w:rPr>
                <w:rFonts w:ascii="Arial" w:eastAsia="Arial" w:hAnsi="Arial" w:cs="Arial"/>
              </w:rPr>
            </w:pPr>
            <w:r>
              <w:rPr>
                <w:rFonts w:ascii="Arial" w:eastAsia="Arial" w:hAnsi="Arial" w:cs="Arial"/>
              </w:rPr>
              <w:t xml:space="preserve">9. Centros de excelencia. Ejecutar las acciones pertinentes para que en el mediano plazo en la red hospitalaria de la ciudad se cuente con al menos un (1) centro de excelencia médica para el diagnóstico y tratamiento de epidermólisis bullosa que sirva como piloto para que posteriormente se amplíe a las demás enfermedades huérfanas. </w:t>
            </w:r>
          </w:p>
          <w:p w:rsidR="0098634D" w:rsidRDefault="00DF5BC3">
            <w:pPr>
              <w:jc w:val="both"/>
              <w:rPr>
                <w:rFonts w:ascii="Arial" w:eastAsia="Arial" w:hAnsi="Arial" w:cs="Arial"/>
                <w:u w:val="single"/>
              </w:rPr>
            </w:pPr>
            <w:r>
              <w:rPr>
                <w:rFonts w:ascii="Arial" w:eastAsia="Arial" w:hAnsi="Arial" w:cs="Arial"/>
                <w:color w:val="FF0000"/>
                <w:u w:val="single"/>
              </w:rPr>
              <w:t>10. Investigación y transferencia de conocimiento. Fomentar y apoyar el desarrollo de investigaciones y transferencia de conocimiento de la información en salud en enfermedades huérfanas en la ciudad.</w:t>
            </w:r>
          </w:p>
        </w:tc>
        <w:tc>
          <w:tcPr>
            <w:tcW w:w="2871" w:type="dxa"/>
          </w:tcPr>
          <w:p w:rsidR="0098634D" w:rsidRDefault="00DF5BC3">
            <w:pPr>
              <w:jc w:val="both"/>
              <w:rPr>
                <w:rFonts w:ascii="Arial" w:eastAsia="Arial" w:hAnsi="Arial" w:cs="Arial"/>
                <w:i/>
              </w:rPr>
            </w:pPr>
            <w:r>
              <w:rPr>
                <w:rFonts w:ascii="Arial" w:eastAsia="Arial" w:hAnsi="Arial" w:cs="Arial"/>
              </w:rPr>
              <w:lastRenderedPageBreak/>
              <w:t xml:space="preserve">1. Se propone modificar el artículo 2°, numeral 2 literal a, añadiéndole la frase </w:t>
            </w:r>
            <w:r>
              <w:rPr>
                <w:rFonts w:ascii="Arial" w:eastAsia="Arial" w:hAnsi="Arial" w:cs="Arial"/>
                <w:i/>
              </w:rPr>
              <w:t>“y de género”</w:t>
            </w:r>
            <w:r>
              <w:rPr>
                <w:rFonts w:ascii="Arial" w:eastAsia="Arial" w:hAnsi="Arial" w:cs="Arial"/>
              </w:rPr>
              <w:t xml:space="preserve">, en concordancia con la resolución citada por el autor y expedida por la </w:t>
            </w:r>
            <w:r>
              <w:rPr>
                <w:rFonts w:ascii="Arial" w:eastAsia="Arial" w:hAnsi="Arial" w:cs="Arial"/>
              </w:rPr>
              <w:lastRenderedPageBreak/>
              <w:t xml:space="preserve">ONU en la que se reconoció </w:t>
            </w:r>
            <w:r>
              <w:rPr>
                <w:rFonts w:ascii="Arial" w:eastAsia="Arial" w:hAnsi="Arial" w:cs="Arial"/>
                <w:i/>
              </w:rPr>
              <w:t xml:space="preserve">la necesidad de las personas que viven con una enfermedad rara para participar en la vida civil, política, social, económica y cultural. </w:t>
            </w:r>
            <w:r>
              <w:rPr>
                <w:rFonts w:ascii="Arial" w:eastAsia="Arial" w:hAnsi="Arial" w:cs="Arial"/>
              </w:rPr>
              <w:t xml:space="preserve">Dicha resolución, reafirma </w:t>
            </w:r>
            <w:r>
              <w:rPr>
                <w:rFonts w:ascii="Arial" w:eastAsia="Arial" w:hAnsi="Arial" w:cs="Arial"/>
                <w:i/>
              </w:rPr>
              <w:t xml:space="preserve">“la necesidad de lograr la igualdad de género y empoderar a las mujeres y a las niñas, y preocupada por el hecho de que las mujeres y las niñas que viven con una enfermedad rara se enfrentan a más discriminación y barreras para acceder a los servicios de atención de salud”. </w:t>
            </w:r>
          </w:p>
          <w:p w:rsidR="0098634D" w:rsidRDefault="0098634D">
            <w:pPr>
              <w:jc w:val="both"/>
              <w:rPr>
                <w:rFonts w:ascii="Arial" w:eastAsia="Arial" w:hAnsi="Arial" w:cs="Arial"/>
                <w:i/>
              </w:rPr>
            </w:pPr>
          </w:p>
          <w:p w:rsidR="0098634D" w:rsidRDefault="00DF5BC3">
            <w:pPr>
              <w:jc w:val="both"/>
              <w:rPr>
                <w:rFonts w:ascii="Arial" w:eastAsia="Arial" w:hAnsi="Arial" w:cs="Arial"/>
                <w:i/>
              </w:rPr>
            </w:pPr>
            <w:r>
              <w:rPr>
                <w:rFonts w:ascii="Arial" w:eastAsia="Arial" w:hAnsi="Arial" w:cs="Arial"/>
              </w:rPr>
              <w:t xml:space="preserve">Adicionalmente, la resolución </w:t>
            </w:r>
            <w:r>
              <w:rPr>
                <w:rFonts w:ascii="Arial" w:eastAsia="Arial" w:hAnsi="Arial" w:cs="Arial"/>
                <w:i/>
              </w:rPr>
              <w:t xml:space="preserve">“alienta a los Estados Miembro a que adopten estrategias, planes de acción y legislación nacionales que tengan en cuenta cuestiones de género para contribuir al bienestar de las personas que viven con una enfermedad rara y de sus familias (…)”.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Por otra parte, se propone adicionar al mismo literal la frase “prestando especial </w:t>
            </w:r>
            <w:r>
              <w:rPr>
                <w:rFonts w:ascii="Arial" w:eastAsia="Arial" w:hAnsi="Arial" w:cs="Arial"/>
              </w:rPr>
              <w:lastRenderedPageBreak/>
              <w:t>atención a los casos en donde estén involucrados niños, niñas y adolescentes”, con el propósito de resaltar la necesidad de garantizar una protección integral a esta población, quienes, además de ser sujetos de especial protección constitucional, enfrentan mayores vulnerabilidades al padecer enfermedades huérfanas.</w:t>
            </w:r>
          </w:p>
          <w:p w:rsidR="0098634D" w:rsidRDefault="0098634D">
            <w:pPr>
              <w:jc w:val="both"/>
              <w:rPr>
                <w:rFonts w:ascii="Arial" w:eastAsia="Arial" w:hAnsi="Arial" w:cs="Arial"/>
              </w:rPr>
            </w:pPr>
          </w:p>
          <w:p w:rsidR="0098634D" w:rsidRDefault="00DF5BC3">
            <w:pPr>
              <w:jc w:val="both"/>
              <w:rPr>
                <w:rFonts w:ascii="Arial" w:eastAsia="Arial" w:hAnsi="Arial" w:cs="Arial"/>
                <w:i/>
              </w:rPr>
            </w:pPr>
            <w:r>
              <w:rPr>
                <w:rFonts w:ascii="Arial" w:eastAsia="Arial" w:hAnsi="Arial" w:cs="Arial"/>
              </w:rPr>
              <w:t xml:space="preserve">Asimismo, esta modificación busca honrar la memoria de Jessica Liliana Ramírez Gaviria, cuya historia evidencia las barreras estructurales que enfrentan los menores de edad con enfermedades raras para acceder a una atención en salud adecuada. Desde su nacimiento, Jessica fue víctima de la omisión del Estado en la garantía de sus derechos, situación que se vio agravada por su imposibilidad de hacerlos valer por sí misma, lo que refuerza la urgencia de implementar estrategias diferenciadas que prioricen a la </w:t>
            </w:r>
            <w:r>
              <w:rPr>
                <w:rFonts w:ascii="Arial" w:eastAsia="Arial" w:hAnsi="Arial" w:cs="Arial"/>
              </w:rPr>
              <w:lastRenderedPageBreak/>
              <w:t>infancia en la atención de estas patologías.</w:t>
            </w:r>
          </w:p>
          <w:p w:rsidR="0098634D" w:rsidRDefault="0098634D">
            <w:pPr>
              <w:jc w:val="both"/>
              <w:rPr>
                <w:rFonts w:ascii="Arial" w:eastAsia="Arial" w:hAnsi="Arial" w:cs="Arial"/>
                <w:i/>
              </w:rPr>
            </w:pPr>
          </w:p>
          <w:p w:rsidR="0098634D" w:rsidRDefault="00DF5BC3">
            <w:pPr>
              <w:jc w:val="both"/>
              <w:rPr>
                <w:rFonts w:ascii="Arial" w:eastAsia="Arial" w:hAnsi="Arial" w:cs="Arial"/>
              </w:rPr>
            </w:pPr>
            <w:r>
              <w:rPr>
                <w:rFonts w:ascii="Arial" w:eastAsia="Arial" w:hAnsi="Arial" w:cs="Arial"/>
              </w:rPr>
              <w:t xml:space="preserve">2. Se propone modificar el artículo 2°, numeral 2 literal f, añadiéndole </w:t>
            </w:r>
            <w:r>
              <w:rPr>
                <w:rFonts w:ascii="Arial" w:eastAsia="Arial" w:hAnsi="Arial" w:cs="Arial"/>
                <w:i/>
              </w:rPr>
              <w:t xml:space="preserve">“al género, la edad y al ciclo de vida del paciente y el manejo de las patologías.” </w:t>
            </w:r>
            <w:r>
              <w:rPr>
                <w:rFonts w:ascii="Arial" w:eastAsia="Arial" w:hAnsi="Arial" w:cs="Arial"/>
              </w:rPr>
              <w:t>Por las mismas razones expuestas en el punto 1.</w:t>
            </w:r>
          </w:p>
          <w:p w:rsidR="0098634D" w:rsidRDefault="0098634D">
            <w:pPr>
              <w:jc w:val="both"/>
              <w:rPr>
                <w:rFonts w:ascii="Arial" w:eastAsia="Arial" w:hAnsi="Arial" w:cs="Arial"/>
              </w:rPr>
            </w:pPr>
          </w:p>
          <w:p w:rsidR="0098634D" w:rsidRDefault="00DF5BC3">
            <w:pPr>
              <w:jc w:val="both"/>
              <w:rPr>
                <w:rFonts w:ascii="Arial" w:eastAsia="Arial" w:hAnsi="Arial" w:cs="Arial"/>
                <w:i/>
              </w:rPr>
            </w:pPr>
            <w:r>
              <w:rPr>
                <w:rFonts w:ascii="Arial" w:eastAsia="Arial" w:hAnsi="Arial" w:cs="Arial"/>
              </w:rPr>
              <w:t xml:space="preserve">3. Se propone suprimir el numeral 10 debido a su similitud con el artículo 3, literal i del Acuerdo 537 de 2013, que establece lo siguiente: </w:t>
            </w:r>
            <w:r>
              <w:rPr>
                <w:rFonts w:ascii="Arial" w:eastAsia="Arial" w:hAnsi="Arial" w:cs="Arial"/>
                <w:i/>
              </w:rPr>
              <w:t>“Promover estímulos para la investigación en la detección oportuna, tratamiento y rehabilitación de las enfermedades huérfanas.”</w:t>
            </w:r>
          </w:p>
        </w:tc>
      </w:tr>
      <w:tr w:rsidR="0098634D">
        <w:tc>
          <w:tcPr>
            <w:tcW w:w="3100" w:type="dxa"/>
          </w:tcPr>
          <w:p w:rsidR="0098634D" w:rsidRDefault="00DF5BC3">
            <w:pPr>
              <w:jc w:val="both"/>
              <w:rPr>
                <w:rFonts w:ascii="Arial" w:eastAsia="Arial" w:hAnsi="Arial" w:cs="Arial"/>
              </w:rPr>
            </w:pPr>
            <w:r>
              <w:rPr>
                <w:rFonts w:ascii="Arial" w:eastAsia="Arial" w:hAnsi="Arial" w:cs="Arial"/>
                <w:b/>
              </w:rPr>
              <w:lastRenderedPageBreak/>
              <w:t>ARTÍCULO 3º. CARACTERIZACIÓN.</w:t>
            </w:r>
            <w:r>
              <w:rPr>
                <w:rFonts w:ascii="Arial" w:eastAsia="Arial" w:hAnsi="Arial" w:cs="Arial"/>
              </w:rPr>
              <w:t xml:space="preserve"> La Administración Distrital, en cabeza de la Secretaría Distrital de Salud y en coordinación con las demás entidades competentes, realizará periódicamente </w:t>
            </w:r>
            <w:r>
              <w:rPr>
                <w:rFonts w:ascii="Arial" w:eastAsia="Arial" w:hAnsi="Arial" w:cs="Arial"/>
              </w:rPr>
              <w:lastRenderedPageBreak/>
              <w:t xml:space="preserve">caracterizaciones de las personas con enfermedades huérfanas domiciliadas en la ciudad, así como de sus cuidadores y cuidadoras. Lo anterior, con el fin de conocer en detalle sus características sociodemográficas y condiciones de vida.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Parágrafo 1. Los resultados de esta caracterización serán divulgados a la ciudadanía general a través del sitio web que la Administración Distrital disponga para ello.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Parágrafo 2. Los hallazgos de las caracterizaciones de las que trata el presente artículo serán insumos claves para la implementación de la Estrategia Distrital de Atención Integral para Personas con Enfermedades Huérfanas.</w:t>
            </w:r>
          </w:p>
        </w:tc>
        <w:tc>
          <w:tcPr>
            <w:tcW w:w="3119" w:type="dxa"/>
          </w:tcPr>
          <w:p w:rsidR="0098634D" w:rsidRDefault="00DF5BC3">
            <w:pPr>
              <w:jc w:val="both"/>
              <w:rPr>
                <w:rFonts w:ascii="Arial" w:eastAsia="Arial" w:hAnsi="Arial" w:cs="Arial"/>
              </w:rPr>
            </w:pPr>
            <w:r>
              <w:rPr>
                <w:rFonts w:ascii="Arial" w:eastAsia="Arial" w:hAnsi="Arial" w:cs="Arial"/>
                <w:b/>
              </w:rPr>
              <w:lastRenderedPageBreak/>
              <w:t>ARTÍCULO 3º. CARACTERIZACIÓN.</w:t>
            </w:r>
            <w:r>
              <w:rPr>
                <w:rFonts w:ascii="Arial" w:eastAsia="Arial" w:hAnsi="Arial" w:cs="Arial"/>
              </w:rPr>
              <w:t xml:space="preserve"> La Administración Distrital, en cabeza de la Secretaría Distrital de Salud y en coordinación con las demás entidades competentes, realizará periódicamente </w:t>
            </w:r>
            <w:r>
              <w:rPr>
                <w:rFonts w:ascii="Arial" w:eastAsia="Arial" w:hAnsi="Arial" w:cs="Arial"/>
              </w:rPr>
              <w:lastRenderedPageBreak/>
              <w:t xml:space="preserve">caracterizaciones de las personas con enfermedades huérfanas domiciliadas en la ciudad, así como de sus cuidadores y cuidadoras. Lo anterior, con el fin de conocer en detalle sus características sociodemográficas y condiciones de vida.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Parágrafo 1. Los resultados de esta caracterización serán divulgados a la ciudadanía general a través del sitio web que la Administración Distrital disponga para ello.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Parágrafo 2. Los hallazgos de las caracterizaciones de las que trata el presente artículo serán insumos claves para la implementación de la Estrategia Distrital de Atención Integral para Personas con Enfermedades Huérfanas.</w:t>
            </w:r>
          </w:p>
        </w:tc>
        <w:tc>
          <w:tcPr>
            <w:tcW w:w="2871" w:type="dxa"/>
          </w:tcPr>
          <w:p w:rsidR="0098634D" w:rsidRDefault="00DF5BC3">
            <w:pPr>
              <w:jc w:val="both"/>
              <w:rPr>
                <w:rFonts w:ascii="Arial" w:eastAsia="Arial" w:hAnsi="Arial" w:cs="Arial"/>
              </w:rPr>
            </w:pPr>
            <w:r>
              <w:rPr>
                <w:rFonts w:ascii="Arial" w:eastAsia="Arial" w:hAnsi="Arial" w:cs="Arial"/>
              </w:rPr>
              <w:lastRenderedPageBreak/>
              <w:t xml:space="preserve">No se modifica el artículo. </w:t>
            </w:r>
          </w:p>
        </w:tc>
      </w:tr>
      <w:tr w:rsidR="0098634D">
        <w:trPr>
          <w:trHeight w:val="2698"/>
        </w:trPr>
        <w:tc>
          <w:tcPr>
            <w:tcW w:w="3100" w:type="dxa"/>
          </w:tcPr>
          <w:p w:rsidR="0098634D" w:rsidRDefault="00DF5BC3">
            <w:pPr>
              <w:jc w:val="both"/>
              <w:rPr>
                <w:rFonts w:ascii="Arial" w:eastAsia="Arial" w:hAnsi="Arial" w:cs="Arial"/>
              </w:rPr>
            </w:pPr>
            <w:r>
              <w:rPr>
                <w:rFonts w:ascii="Arial" w:eastAsia="Arial" w:hAnsi="Arial" w:cs="Arial"/>
                <w:b/>
              </w:rPr>
              <w:lastRenderedPageBreak/>
              <w:t>ARTÍCULO 4º. CÁTEDRA JESSICA LILIANA RAMÍREZ GAVIRIA.</w:t>
            </w:r>
            <w:r>
              <w:rPr>
                <w:rFonts w:ascii="Arial" w:eastAsia="Arial" w:hAnsi="Arial" w:cs="Arial"/>
              </w:rPr>
              <w:t xml:space="preserve"> La Administración Distrital, en cabeza del Sector Salud, creará la Cátedra Jessica Liliana Ramírez Gaviria, en el marco de la cual en los hospitales y centros de salud del Distrito Capital se realizarán periódicamente jornadas de capacitación y </w:t>
            </w:r>
            <w:r>
              <w:rPr>
                <w:rFonts w:ascii="Arial" w:eastAsia="Arial" w:hAnsi="Arial" w:cs="Arial"/>
              </w:rPr>
              <w:lastRenderedPageBreak/>
              <w:t xml:space="preserve">sensibilización a todo su personal sobre las enfermedades huérfanas, en las cuales se abordará la importancia del trato humanizado y oportuno a esta población, sus familias y cuidadores, incluyendo enfoques diferenciales y de priorización. </w:t>
            </w:r>
          </w:p>
          <w:p w:rsidR="0098634D" w:rsidRDefault="00DF5BC3">
            <w:pPr>
              <w:jc w:val="both"/>
              <w:rPr>
                <w:rFonts w:ascii="Arial" w:eastAsia="Arial" w:hAnsi="Arial" w:cs="Arial"/>
              </w:rPr>
            </w:pPr>
            <w:r>
              <w:rPr>
                <w:rFonts w:ascii="Arial" w:eastAsia="Arial" w:hAnsi="Arial" w:cs="Arial"/>
              </w:rPr>
              <w:t>Parágrafo. La Cátedra Jessica Liliana Ramírez Gaviria cobijará también a los estudiantes que desarrollan residencias y/o prácticas en la red hospitalaria del Distrito Capital.</w:t>
            </w:r>
          </w:p>
        </w:tc>
        <w:tc>
          <w:tcPr>
            <w:tcW w:w="3119" w:type="dxa"/>
          </w:tcPr>
          <w:p w:rsidR="0098634D" w:rsidRDefault="00DF5BC3">
            <w:pPr>
              <w:jc w:val="both"/>
              <w:rPr>
                <w:rFonts w:ascii="Arial" w:eastAsia="Arial" w:hAnsi="Arial" w:cs="Arial"/>
              </w:rPr>
            </w:pPr>
            <w:r>
              <w:rPr>
                <w:rFonts w:ascii="Arial" w:eastAsia="Arial" w:hAnsi="Arial" w:cs="Arial"/>
                <w:b/>
              </w:rPr>
              <w:lastRenderedPageBreak/>
              <w:t>ARTÍCULO 4º. CÁTEDRA JESSICA LILIANA RAMÍREZ GAVIRIA.</w:t>
            </w:r>
            <w:r>
              <w:rPr>
                <w:rFonts w:ascii="Arial" w:eastAsia="Arial" w:hAnsi="Arial" w:cs="Arial"/>
              </w:rPr>
              <w:t xml:space="preserve"> La Administración Distrital, en cabeza del Sector Salud, creará la Cátedra Jessica Liliana Ramírez Gaviria, en el marco de la cual en los hospitales y centros de salud del Distrito Capital se realizarán periódicamente jornadas de capacitación y </w:t>
            </w:r>
            <w:r>
              <w:rPr>
                <w:rFonts w:ascii="Arial" w:eastAsia="Arial" w:hAnsi="Arial" w:cs="Arial"/>
              </w:rPr>
              <w:lastRenderedPageBreak/>
              <w:t xml:space="preserve">sensibilización a todo su personal sobre las enfermedades huérfanas, en las cuales se abordará la importancia del trato humanizado y oportuno a esta población, sus familias y cuidadores, incluyendo enfoques diferenciales y de priorización. </w:t>
            </w:r>
          </w:p>
          <w:p w:rsidR="0098634D" w:rsidRDefault="00DF5BC3">
            <w:pPr>
              <w:jc w:val="both"/>
              <w:rPr>
                <w:rFonts w:ascii="Arial" w:eastAsia="Arial" w:hAnsi="Arial" w:cs="Arial"/>
              </w:rPr>
            </w:pPr>
            <w:r>
              <w:rPr>
                <w:rFonts w:ascii="Arial" w:eastAsia="Arial" w:hAnsi="Arial" w:cs="Arial"/>
              </w:rPr>
              <w:t>Parágrafo. La Cátedra Jessica Liliana Ramírez Gaviria cobijará también a los estudiantes que desarrollan residencias y/o prácticas en la red hospitalaria del Distrito Capital.</w:t>
            </w:r>
          </w:p>
        </w:tc>
        <w:tc>
          <w:tcPr>
            <w:tcW w:w="2871" w:type="dxa"/>
          </w:tcPr>
          <w:p w:rsidR="0098634D" w:rsidRDefault="00DF5BC3">
            <w:pPr>
              <w:jc w:val="both"/>
              <w:rPr>
                <w:rFonts w:ascii="Arial" w:eastAsia="Arial" w:hAnsi="Arial" w:cs="Arial"/>
              </w:rPr>
            </w:pPr>
            <w:r>
              <w:rPr>
                <w:rFonts w:ascii="Arial" w:eastAsia="Arial" w:hAnsi="Arial" w:cs="Arial"/>
              </w:rPr>
              <w:lastRenderedPageBreak/>
              <w:t xml:space="preserve">No se modifica el artículo. </w:t>
            </w:r>
          </w:p>
        </w:tc>
      </w:tr>
      <w:tr w:rsidR="0098634D">
        <w:tc>
          <w:tcPr>
            <w:tcW w:w="3100" w:type="dxa"/>
          </w:tcPr>
          <w:p w:rsidR="0098634D" w:rsidRDefault="00DF5BC3">
            <w:pPr>
              <w:jc w:val="both"/>
              <w:rPr>
                <w:rFonts w:ascii="Arial" w:eastAsia="Arial" w:hAnsi="Arial" w:cs="Arial"/>
              </w:rPr>
            </w:pPr>
            <w:r>
              <w:rPr>
                <w:rFonts w:ascii="Arial" w:eastAsia="Arial" w:hAnsi="Arial" w:cs="Arial"/>
                <w:b/>
              </w:rPr>
              <w:lastRenderedPageBreak/>
              <w:t>ARTÍCULO 5º. MENCIÓN DE HONOR JESSICA LILIANA RAMÍREZ GAVIRIA.</w:t>
            </w:r>
            <w:r>
              <w:rPr>
                <w:rFonts w:ascii="Arial" w:eastAsia="Arial" w:hAnsi="Arial" w:cs="Arial"/>
              </w:rPr>
              <w:t xml:space="preserve"> Créase la “Mención de Honor Jessica Liliana Ramírez Gaviria” del Concejo de Bogotá D.C., con el fin de reconocer y exaltar el trabajo de las personas naturales y/o jurídicas, así como de las organizaciones de la sociedad civil, que trabajan por la defensa de los derechos de las personas con enfermedades huérfanas de la ciudad. </w:t>
            </w:r>
          </w:p>
          <w:p w:rsidR="0098634D" w:rsidRDefault="00DF5BC3">
            <w:pPr>
              <w:jc w:val="both"/>
              <w:rPr>
                <w:rFonts w:ascii="Arial" w:eastAsia="Arial" w:hAnsi="Arial" w:cs="Arial"/>
              </w:rPr>
            </w:pPr>
            <w:r>
              <w:rPr>
                <w:rFonts w:ascii="Arial" w:eastAsia="Arial" w:hAnsi="Arial" w:cs="Arial"/>
              </w:rPr>
              <w:t xml:space="preserve">Parágrafo 1. La Mención de Honor “Jessica Liliana Ramírez Gaviria” constará de medalla; carpeta que contendrá en nota de estilo </w:t>
            </w:r>
            <w:r>
              <w:rPr>
                <w:rFonts w:ascii="Arial" w:eastAsia="Arial" w:hAnsi="Arial" w:cs="Arial"/>
              </w:rPr>
              <w:lastRenderedPageBreak/>
              <w:t xml:space="preserve">copia de la Resolución por medio de la cual se concede este reconocimiento y una publicación en la página web del Concejo de Bogotá D.C. y la Secretaría Distrital de Salud respecto al trabajo o actividad objeto de la condecoración. </w:t>
            </w:r>
          </w:p>
          <w:p w:rsidR="0098634D" w:rsidRDefault="00DF5BC3">
            <w:pPr>
              <w:jc w:val="both"/>
              <w:rPr>
                <w:rFonts w:ascii="Arial" w:eastAsia="Arial" w:hAnsi="Arial" w:cs="Arial"/>
              </w:rPr>
            </w:pPr>
            <w:r>
              <w:rPr>
                <w:rFonts w:ascii="Arial" w:eastAsia="Arial" w:hAnsi="Arial" w:cs="Arial"/>
              </w:rPr>
              <w:t xml:space="preserve">Parágrafo 2. La Mención de Honor de que trata el presente artículo será entregada el último día del mes de febrero de cada año, en el marco de la conmemoración del Día Mundial de las Enfermedades Huérfanas. </w:t>
            </w:r>
          </w:p>
          <w:p w:rsidR="0098634D" w:rsidRDefault="00DF5BC3">
            <w:pPr>
              <w:jc w:val="both"/>
              <w:rPr>
                <w:rFonts w:ascii="Arial" w:eastAsia="Arial" w:hAnsi="Arial" w:cs="Arial"/>
              </w:rPr>
            </w:pPr>
            <w:r>
              <w:rPr>
                <w:rFonts w:ascii="Arial" w:eastAsia="Arial" w:hAnsi="Arial" w:cs="Arial"/>
              </w:rPr>
              <w:t>Parágrafo 3. Los gastos que se ocasionen por la creación e imposición de esta Mención de Honor estarán a cargo del Fondo Cuenta del Concejo de Bogotá, D.C., o por la entidad que opere como ordenadora del gasto del Concejo de Bogotá, D.C.</w:t>
            </w:r>
          </w:p>
        </w:tc>
        <w:tc>
          <w:tcPr>
            <w:tcW w:w="3119" w:type="dxa"/>
          </w:tcPr>
          <w:p w:rsidR="0098634D" w:rsidRDefault="00DF5BC3">
            <w:pPr>
              <w:jc w:val="both"/>
              <w:rPr>
                <w:rFonts w:ascii="Arial" w:eastAsia="Arial" w:hAnsi="Arial" w:cs="Arial"/>
              </w:rPr>
            </w:pPr>
            <w:r>
              <w:rPr>
                <w:rFonts w:ascii="Arial" w:eastAsia="Arial" w:hAnsi="Arial" w:cs="Arial"/>
                <w:b/>
              </w:rPr>
              <w:lastRenderedPageBreak/>
              <w:t>ARTÍCULO 5º. MENCIÓN DE HONOR JESSICA LILIANA RAMÍREZ GAVIRIA.</w:t>
            </w:r>
            <w:r>
              <w:rPr>
                <w:rFonts w:ascii="Arial" w:eastAsia="Arial" w:hAnsi="Arial" w:cs="Arial"/>
              </w:rPr>
              <w:t xml:space="preserve"> Créase la “Mención de Honor Jessica Liliana Ramírez Gaviria” del Concejo de Bogotá D.C., con el fin de reconocer y exaltar el trabajo de las personas naturales y/o jurídicas, así como de las organizaciones de la sociedad civil, que trabajan por la defensa de los derechos de las personas con enfermedades huérfanas de la ciudad. </w:t>
            </w:r>
          </w:p>
          <w:p w:rsidR="0098634D" w:rsidRDefault="00DF5BC3">
            <w:pPr>
              <w:jc w:val="both"/>
              <w:rPr>
                <w:rFonts w:ascii="Arial" w:eastAsia="Arial" w:hAnsi="Arial" w:cs="Arial"/>
              </w:rPr>
            </w:pPr>
            <w:r>
              <w:rPr>
                <w:rFonts w:ascii="Arial" w:eastAsia="Arial" w:hAnsi="Arial" w:cs="Arial"/>
              </w:rPr>
              <w:t xml:space="preserve">Parágrafo 1. La Mención de Honor “Jessica Liliana Ramírez Gaviria” constará de medalla; carpeta que contendrá en nota de estilo </w:t>
            </w:r>
            <w:r>
              <w:rPr>
                <w:rFonts w:ascii="Arial" w:eastAsia="Arial" w:hAnsi="Arial" w:cs="Arial"/>
              </w:rPr>
              <w:lastRenderedPageBreak/>
              <w:t xml:space="preserve">copia de la Resolución por medio de la cual se concede este reconocimiento y una publicación en la página web del Concejo de Bogotá D.C. y la Secretaría Distrital de Salud respecto al trabajo o actividad objeto de la condecoración. </w:t>
            </w:r>
          </w:p>
          <w:p w:rsidR="0098634D" w:rsidRDefault="00DF5BC3">
            <w:pPr>
              <w:jc w:val="both"/>
              <w:rPr>
                <w:rFonts w:ascii="Arial" w:eastAsia="Arial" w:hAnsi="Arial" w:cs="Arial"/>
              </w:rPr>
            </w:pPr>
            <w:r>
              <w:rPr>
                <w:rFonts w:ascii="Arial" w:eastAsia="Arial" w:hAnsi="Arial" w:cs="Arial"/>
              </w:rPr>
              <w:t xml:space="preserve">Parágrafo 2. La Mención de Honor de que trata el presente artículo será entregada el último día del mes de febrero de cada año, en el marco de la conmemoración del Día Mundial de las Enfermedades Huérfanas. </w:t>
            </w:r>
          </w:p>
          <w:p w:rsidR="0098634D" w:rsidRDefault="00DF5BC3">
            <w:pPr>
              <w:jc w:val="both"/>
            </w:pPr>
            <w:r>
              <w:rPr>
                <w:rFonts w:ascii="Arial" w:eastAsia="Arial" w:hAnsi="Arial" w:cs="Arial"/>
              </w:rPr>
              <w:t>Parágrafo 3. Los gastos que se ocasionen por la creación e imposición de esta Mención de Honor estarán a cargo del Fondo Cuenta del Concejo de Bogotá, D.C., o por la entidad que opere como ordenadora del gasto del Concejo de Bogotá, D.C.</w:t>
            </w:r>
          </w:p>
        </w:tc>
        <w:tc>
          <w:tcPr>
            <w:tcW w:w="2871" w:type="dxa"/>
          </w:tcPr>
          <w:p w:rsidR="0098634D" w:rsidRDefault="00DF5BC3">
            <w:pPr>
              <w:jc w:val="both"/>
              <w:rPr>
                <w:rFonts w:ascii="Arial" w:eastAsia="Arial" w:hAnsi="Arial" w:cs="Arial"/>
              </w:rPr>
            </w:pPr>
            <w:r>
              <w:rPr>
                <w:rFonts w:ascii="Arial" w:eastAsia="Arial" w:hAnsi="Arial" w:cs="Arial"/>
              </w:rPr>
              <w:lastRenderedPageBreak/>
              <w:t>No se modifica el artículo.</w:t>
            </w:r>
          </w:p>
        </w:tc>
      </w:tr>
      <w:tr w:rsidR="0098634D">
        <w:trPr>
          <w:trHeight w:val="402"/>
        </w:trPr>
        <w:tc>
          <w:tcPr>
            <w:tcW w:w="3100" w:type="dxa"/>
          </w:tcPr>
          <w:p w:rsidR="0098634D" w:rsidRDefault="00DF5BC3">
            <w:pPr>
              <w:jc w:val="both"/>
              <w:rPr>
                <w:rFonts w:ascii="Arial" w:eastAsia="Arial" w:hAnsi="Arial" w:cs="Arial"/>
              </w:rPr>
            </w:pPr>
            <w:r>
              <w:rPr>
                <w:rFonts w:ascii="Arial" w:eastAsia="Arial" w:hAnsi="Arial" w:cs="Arial"/>
                <w:b/>
              </w:rPr>
              <w:lastRenderedPageBreak/>
              <w:t>ARTÍCULO 6º. REPRESENTACIÓN ARTÍSTICA.</w:t>
            </w:r>
            <w:r>
              <w:rPr>
                <w:rFonts w:ascii="Arial" w:eastAsia="Arial" w:hAnsi="Arial" w:cs="Arial"/>
              </w:rPr>
              <w:t xml:space="preserve"> La Administración Distrital, en cabeza de la Subred Integrada de Servicios de Salud Sur E.S.E y Capital Salud EPS-S S.A.S. en coordinación con la Secretaría Jurídica Distrital y la Secretaría Distrital de Cultura, Recreación y Deporte, realizará una </w:t>
            </w:r>
            <w:r>
              <w:rPr>
                <w:rFonts w:ascii="Arial" w:eastAsia="Arial" w:hAnsi="Arial" w:cs="Arial"/>
              </w:rPr>
              <w:lastRenderedPageBreak/>
              <w:t xml:space="preserve">representación artística tipo mural en el Hospital de Kennedy, lugar en el cual nació y falleció Jessica Liliana Ramírez Gaviria QEPD, con el fin de dignificar su memoria y reivindicar la lucha de ella y de su familia en el tratamiento de la epidermólisis bullosa. </w:t>
            </w:r>
          </w:p>
          <w:p w:rsidR="0098634D" w:rsidRDefault="00DF5BC3">
            <w:pPr>
              <w:jc w:val="both"/>
              <w:rPr>
                <w:rFonts w:ascii="Arial" w:eastAsia="Arial" w:hAnsi="Arial" w:cs="Arial"/>
              </w:rPr>
            </w:pPr>
            <w:r>
              <w:rPr>
                <w:rFonts w:ascii="Arial" w:eastAsia="Arial" w:hAnsi="Arial" w:cs="Arial"/>
              </w:rPr>
              <w:t xml:space="preserve">Parágrafo 1. La persona que realizará la intervención artística de la que trata el presente artículo será escogida de manera conjunta entre los familiares de Jessica Liliana Ramírez Gaviria QEDP y la Secretaría Distrital de Cultura, Recreación y Deporte. </w:t>
            </w:r>
          </w:p>
          <w:p w:rsidR="0098634D" w:rsidRDefault="00DF5BC3">
            <w:pPr>
              <w:jc w:val="both"/>
              <w:rPr>
                <w:rFonts w:ascii="Arial" w:eastAsia="Arial" w:hAnsi="Arial" w:cs="Arial"/>
              </w:rPr>
            </w:pPr>
            <w:r>
              <w:rPr>
                <w:rFonts w:ascii="Arial" w:eastAsia="Arial" w:hAnsi="Arial" w:cs="Arial"/>
              </w:rPr>
              <w:t>Parágrafo 2. La representación artística contará con un código “QR” el cual contendrá una remembranza de Jessica Liliana Ramírez Gaviria QEPD, su fecha de fallecimiento, el reconocimiento de responsabilidad realizado por el Estado colombiano y un mensaje de apoyo a los familiares y pacientes con epidermólisis bullosa.</w:t>
            </w:r>
          </w:p>
        </w:tc>
        <w:tc>
          <w:tcPr>
            <w:tcW w:w="3119" w:type="dxa"/>
          </w:tcPr>
          <w:p w:rsidR="0098634D" w:rsidRDefault="00DF5BC3">
            <w:pPr>
              <w:jc w:val="both"/>
              <w:rPr>
                <w:rFonts w:ascii="Arial" w:eastAsia="Arial" w:hAnsi="Arial" w:cs="Arial"/>
              </w:rPr>
            </w:pPr>
            <w:bookmarkStart w:id="3" w:name="_heading=h.pa8f6ivdeuer" w:colFirst="0" w:colLast="0"/>
            <w:bookmarkEnd w:id="3"/>
            <w:r>
              <w:rPr>
                <w:rFonts w:ascii="Arial" w:eastAsia="Arial" w:hAnsi="Arial" w:cs="Arial"/>
                <w:b/>
              </w:rPr>
              <w:lastRenderedPageBreak/>
              <w:t>ARTÍCULO 6º. REPRESENTACIÓN ARTÍSTICA.</w:t>
            </w:r>
            <w:r>
              <w:rPr>
                <w:rFonts w:ascii="Arial" w:eastAsia="Arial" w:hAnsi="Arial" w:cs="Arial"/>
              </w:rPr>
              <w:t xml:space="preserve"> La Administración Distrital, en cabeza de la Subred Integrada de Servicios de Salud Sur E.S.E y Capital Salud EPS-S S.A.S. en coordinación con la Secretaría Jurídica Distrital y la Secretaría Distrital de Cultura, Recreación y Deporte, realizará una </w:t>
            </w:r>
            <w:r>
              <w:rPr>
                <w:rFonts w:ascii="Arial" w:eastAsia="Arial" w:hAnsi="Arial" w:cs="Arial"/>
              </w:rPr>
              <w:lastRenderedPageBreak/>
              <w:t xml:space="preserve">representación artística tipo mural en el Hospital de Kennedy, lugar en el cual nació y falleció Jessica Liliana Ramírez Gaviria QEPD, con el fin de dignificar su memoria y reivindicar la lucha de ella y de su familia en el tratamiento de la epidermólisis bullosa. </w:t>
            </w:r>
          </w:p>
          <w:p w:rsidR="0098634D" w:rsidRDefault="00DF5BC3">
            <w:pPr>
              <w:jc w:val="both"/>
              <w:rPr>
                <w:rFonts w:ascii="Arial" w:eastAsia="Arial" w:hAnsi="Arial" w:cs="Arial"/>
              </w:rPr>
            </w:pPr>
            <w:r>
              <w:rPr>
                <w:rFonts w:ascii="Arial" w:eastAsia="Arial" w:hAnsi="Arial" w:cs="Arial"/>
              </w:rPr>
              <w:t xml:space="preserve">Parágrafo 1. La persona que realizará la intervención artística de la que trata el presente artículo será escogida de manera conjunta entre los familiares de Jessica Liliana Ramírez Gaviria QEDP y la Secretaría Distrital de Cultura, Recreación y Deporte. </w:t>
            </w:r>
          </w:p>
          <w:p w:rsidR="0098634D" w:rsidRDefault="00DF5BC3">
            <w:pPr>
              <w:jc w:val="both"/>
              <w:rPr>
                <w:rFonts w:ascii="Arial" w:eastAsia="Arial" w:hAnsi="Arial" w:cs="Arial"/>
                <w:color w:val="FF0000"/>
                <w:u w:val="single"/>
              </w:rPr>
            </w:pPr>
            <w:r>
              <w:rPr>
                <w:rFonts w:ascii="Arial" w:eastAsia="Arial" w:hAnsi="Arial" w:cs="Arial"/>
              </w:rPr>
              <w:t>Parágrafo 2. La representación artística contará con un código “QR” el cual contendrá una remembranza de Jessica Liliana Ramírez Gaviria QEPD, su fecha de fallecimiento, el reconocimiento de responsabilidad realizado por el Estado colombiano y un mensaje de apoyo a los familiares y pacientes con epidermólisis bullosa.</w:t>
            </w:r>
          </w:p>
        </w:tc>
        <w:tc>
          <w:tcPr>
            <w:tcW w:w="2871" w:type="dxa"/>
          </w:tcPr>
          <w:p w:rsidR="0098634D" w:rsidRDefault="00DF5BC3">
            <w:pPr>
              <w:jc w:val="both"/>
              <w:rPr>
                <w:rFonts w:ascii="Arial" w:eastAsia="Arial" w:hAnsi="Arial" w:cs="Arial"/>
              </w:rPr>
            </w:pPr>
            <w:r>
              <w:rPr>
                <w:rFonts w:ascii="Arial" w:eastAsia="Arial" w:hAnsi="Arial" w:cs="Arial"/>
              </w:rPr>
              <w:lastRenderedPageBreak/>
              <w:t>No se modifica el artículo.</w:t>
            </w:r>
          </w:p>
        </w:tc>
      </w:tr>
      <w:tr w:rsidR="0098634D">
        <w:trPr>
          <w:trHeight w:val="402"/>
        </w:trPr>
        <w:tc>
          <w:tcPr>
            <w:tcW w:w="3100" w:type="dxa"/>
          </w:tcPr>
          <w:p w:rsidR="0098634D" w:rsidRDefault="00DF5BC3">
            <w:pPr>
              <w:jc w:val="both"/>
              <w:rPr>
                <w:rFonts w:ascii="Arial" w:eastAsia="Arial" w:hAnsi="Arial" w:cs="Arial"/>
                <w:b/>
                <w:strike/>
              </w:rPr>
            </w:pPr>
            <w:r>
              <w:rPr>
                <w:rFonts w:ascii="Arial" w:eastAsia="Arial" w:hAnsi="Arial" w:cs="Arial"/>
                <w:b/>
              </w:rPr>
              <w:lastRenderedPageBreak/>
              <w:t xml:space="preserve">ARTÍCULO 7º. ENTIDADES RESPONSABLES. </w:t>
            </w:r>
            <w:r>
              <w:rPr>
                <w:rFonts w:ascii="Arial" w:eastAsia="Arial" w:hAnsi="Arial" w:cs="Arial"/>
              </w:rPr>
              <w:t xml:space="preserve">La Administración Distrital implementará las disposiciones del presente </w:t>
            </w:r>
            <w:r>
              <w:rPr>
                <w:rFonts w:ascii="Arial" w:eastAsia="Arial" w:hAnsi="Arial" w:cs="Arial"/>
              </w:rPr>
              <w:lastRenderedPageBreak/>
              <w:t>Acuerdo a través de sus entidades competentes, bajo el liderazgo de la Secretaría Distrital de Salud, incluyendo a las Subredes Integradas de Servicios de Salud E.S.E. y Capital Salud E.P.S. S.A.S.</w:t>
            </w:r>
            <w:r>
              <w:rPr>
                <w:rFonts w:ascii="Arial" w:eastAsia="Arial" w:hAnsi="Arial" w:cs="Arial"/>
                <w:b/>
              </w:rPr>
              <w:t xml:space="preserve"> </w:t>
            </w:r>
          </w:p>
          <w:p w:rsidR="0098634D" w:rsidRDefault="0098634D">
            <w:pPr>
              <w:jc w:val="both"/>
              <w:rPr>
                <w:rFonts w:ascii="Arial" w:eastAsia="Arial" w:hAnsi="Arial" w:cs="Arial"/>
                <w:strike/>
              </w:rPr>
            </w:pPr>
          </w:p>
        </w:tc>
        <w:tc>
          <w:tcPr>
            <w:tcW w:w="3119" w:type="dxa"/>
          </w:tcPr>
          <w:p w:rsidR="0098634D" w:rsidRDefault="00DF5BC3">
            <w:pPr>
              <w:jc w:val="both"/>
              <w:rPr>
                <w:rFonts w:ascii="Arial" w:eastAsia="Arial" w:hAnsi="Arial" w:cs="Arial"/>
                <w:b/>
                <w:strike/>
              </w:rPr>
            </w:pPr>
            <w:r>
              <w:rPr>
                <w:rFonts w:ascii="Arial" w:eastAsia="Arial" w:hAnsi="Arial" w:cs="Arial"/>
                <w:b/>
              </w:rPr>
              <w:lastRenderedPageBreak/>
              <w:t xml:space="preserve">ARTÍCULO 7º. ENTIDADES RESPONSABLES. </w:t>
            </w:r>
            <w:r>
              <w:rPr>
                <w:rFonts w:ascii="Arial" w:eastAsia="Arial" w:hAnsi="Arial" w:cs="Arial"/>
              </w:rPr>
              <w:t xml:space="preserve">La Administración Distrital implementará las disposiciones del presente </w:t>
            </w:r>
            <w:r>
              <w:rPr>
                <w:rFonts w:ascii="Arial" w:eastAsia="Arial" w:hAnsi="Arial" w:cs="Arial"/>
              </w:rPr>
              <w:lastRenderedPageBreak/>
              <w:t>Acuerdo a través de sus entidades competentes, bajo el liderazgo de la Secretaría Distrital de Salud, incluyendo a las Subredes Integradas de Servicios de Salud E.S.E. y Capital Salud E.P.S. S.A.S.</w:t>
            </w:r>
            <w:r>
              <w:rPr>
                <w:rFonts w:ascii="Arial" w:eastAsia="Arial" w:hAnsi="Arial" w:cs="Arial"/>
                <w:b/>
              </w:rPr>
              <w:t xml:space="preserve"> </w:t>
            </w:r>
          </w:p>
          <w:p w:rsidR="0098634D" w:rsidRDefault="0098634D">
            <w:pPr>
              <w:jc w:val="both"/>
              <w:rPr>
                <w:rFonts w:ascii="Arial" w:eastAsia="Arial" w:hAnsi="Arial" w:cs="Arial"/>
              </w:rPr>
            </w:pPr>
          </w:p>
        </w:tc>
        <w:tc>
          <w:tcPr>
            <w:tcW w:w="2871" w:type="dxa"/>
          </w:tcPr>
          <w:p w:rsidR="0098634D" w:rsidRDefault="00DF5BC3">
            <w:pPr>
              <w:jc w:val="both"/>
              <w:rPr>
                <w:rFonts w:ascii="Arial" w:eastAsia="Arial" w:hAnsi="Arial" w:cs="Arial"/>
              </w:rPr>
            </w:pPr>
            <w:r>
              <w:rPr>
                <w:rFonts w:ascii="Arial" w:eastAsia="Arial" w:hAnsi="Arial" w:cs="Arial"/>
              </w:rPr>
              <w:lastRenderedPageBreak/>
              <w:t>No se modifica el artículo.</w:t>
            </w:r>
          </w:p>
        </w:tc>
      </w:tr>
      <w:tr w:rsidR="0098634D">
        <w:trPr>
          <w:trHeight w:val="402"/>
        </w:trPr>
        <w:tc>
          <w:tcPr>
            <w:tcW w:w="3100" w:type="dxa"/>
          </w:tcPr>
          <w:p w:rsidR="0098634D" w:rsidRDefault="00DF5BC3">
            <w:pPr>
              <w:jc w:val="both"/>
              <w:rPr>
                <w:rFonts w:ascii="Arial" w:eastAsia="Arial" w:hAnsi="Arial" w:cs="Arial"/>
                <w:b/>
              </w:rPr>
            </w:pPr>
            <w:r>
              <w:rPr>
                <w:rFonts w:ascii="Arial" w:eastAsia="Arial" w:hAnsi="Arial" w:cs="Arial"/>
                <w:b/>
              </w:rPr>
              <w:lastRenderedPageBreak/>
              <w:t xml:space="preserve">ARTÍCULO 8º. INFORMES. </w:t>
            </w:r>
            <w:r>
              <w:rPr>
                <w:rFonts w:ascii="Arial" w:eastAsia="Arial" w:hAnsi="Arial" w:cs="Arial"/>
              </w:rPr>
              <w:t>El último día del mes de febrero de cada año, en el marco del Día Mundial de las Enfermedades Huérfanas, las entidades responsables presentarán un informe integral ante el Concejo de Bogotá D. C. sobre la implementación de las disposiciones del presente Acuerdo.</w:t>
            </w:r>
          </w:p>
        </w:tc>
        <w:tc>
          <w:tcPr>
            <w:tcW w:w="3119" w:type="dxa"/>
          </w:tcPr>
          <w:p w:rsidR="0098634D" w:rsidRDefault="00DF5BC3">
            <w:pPr>
              <w:jc w:val="both"/>
              <w:rPr>
                <w:rFonts w:ascii="Arial" w:eastAsia="Arial" w:hAnsi="Arial" w:cs="Arial"/>
                <w:b/>
              </w:rPr>
            </w:pPr>
            <w:r>
              <w:rPr>
                <w:rFonts w:ascii="Arial" w:eastAsia="Arial" w:hAnsi="Arial" w:cs="Arial"/>
                <w:b/>
              </w:rPr>
              <w:t xml:space="preserve">ARTÍCULO 8º. INFORMES. </w:t>
            </w:r>
            <w:r>
              <w:rPr>
                <w:rFonts w:ascii="Arial" w:eastAsia="Arial" w:hAnsi="Arial" w:cs="Arial"/>
              </w:rPr>
              <w:t>El último día del mes de febrero de cada año, en el marco del Día Mundial de las Enfermedades Huérfanas, las entidades responsables presentarán un informe integral ante el Concejo de Bogotá D. C. sobre la implementación de las disposiciones del presente Acuerdo.</w:t>
            </w:r>
          </w:p>
        </w:tc>
        <w:tc>
          <w:tcPr>
            <w:tcW w:w="2871" w:type="dxa"/>
          </w:tcPr>
          <w:p w:rsidR="0098634D" w:rsidRDefault="00DF5BC3">
            <w:pPr>
              <w:jc w:val="both"/>
              <w:rPr>
                <w:rFonts w:ascii="Arial" w:eastAsia="Arial" w:hAnsi="Arial" w:cs="Arial"/>
              </w:rPr>
            </w:pPr>
            <w:r>
              <w:rPr>
                <w:rFonts w:ascii="Arial" w:eastAsia="Arial" w:hAnsi="Arial" w:cs="Arial"/>
              </w:rPr>
              <w:t>No se modifica el artículo.</w:t>
            </w:r>
          </w:p>
        </w:tc>
      </w:tr>
      <w:tr w:rsidR="0098634D">
        <w:trPr>
          <w:trHeight w:val="402"/>
        </w:trPr>
        <w:tc>
          <w:tcPr>
            <w:tcW w:w="3100" w:type="dxa"/>
          </w:tcPr>
          <w:p w:rsidR="0098634D" w:rsidRDefault="00DF5BC3">
            <w:pPr>
              <w:jc w:val="both"/>
              <w:rPr>
                <w:rFonts w:ascii="Arial" w:eastAsia="Arial" w:hAnsi="Arial" w:cs="Arial"/>
                <w:b/>
              </w:rPr>
            </w:pPr>
            <w:r>
              <w:rPr>
                <w:rFonts w:ascii="Arial" w:eastAsia="Arial" w:hAnsi="Arial" w:cs="Arial"/>
                <w:b/>
              </w:rPr>
              <w:t xml:space="preserve">ARTÍCULO 9º. REGLAMENTACIÓN E IMPLEMENTACIÓN. </w:t>
            </w:r>
            <w:r>
              <w:rPr>
                <w:rFonts w:ascii="Arial" w:eastAsia="Arial" w:hAnsi="Arial" w:cs="Arial"/>
              </w:rPr>
              <w:t>La Administración Distrital reglamentará e iniciará la implementación del presente Acuerdo dentro de los seis (6) meses siguientes a su entrada en vigencia.</w:t>
            </w:r>
          </w:p>
        </w:tc>
        <w:tc>
          <w:tcPr>
            <w:tcW w:w="3119" w:type="dxa"/>
          </w:tcPr>
          <w:p w:rsidR="0098634D" w:rsidRDefault="00DF5BC3">
            <w:pPr>
              <w:jc w:val="both"/>
              <w:rPr>
                <w:rFonts w:ascii="Arial" w:eastAsia="Arial" w:hAnsi="Arial" w:cs="Arial"/>
                <w:b/>
              </w:rPr>
            </w:pPr>
            <w:r>
              <w:rPr>
                <w:rFonts w:ascii="Arial" w:eastAsia="Arial" w:hAnsi="Arial" w:cs="Arial"/>
                <w:b/>
              </w:rPr>
              <w:t xml:space="preserve">ARTÍCULO 9º. REGLAMENTACIÓN E IMPLEMENTACIÓN. </w:t>
            </w:r>
            <w:r>
              <w:rPr>
                <w:rFonts w:ascii="Arial" w:eastAsia="Arial" w:hAnsi="Arial" w:cs="Arial"/>
              </w:rPr>
              <w:t>La Administración Distrital reglamentará e iniciará la implementación del presente Acuerdo dentro de los seis (6) meses siguientes a su entrada en vigencia.</w:t>
            </w:r>
          </w:p>
        </w:tc>
        <w:tc>
          <w:tcPr>
            <w:tcW w:w="2871" w:type="dxa"/>
          </w:tcPr>
          <w:p w:rsidR="0098634D" w:rsidRDefault="00DF5BC3">
            <w:pPr>
              <w:jc w:val="both"/>
              <w:rPr>
                <w:rFonts w:ascii="Arial" w:eastAsia="Arial" w:hAnsi="Arial" w:cs="Arial"/>
              </w:rPr>
            </w:pPr>
            <w:r>
              <w:rPr>
                <w:rFonts w:ascii="Arial" w:eastAsia="Arial" w:hAnsi="Arial" w:cs="Arial"/>
              </w:rPr>
              <w:t>No se modifica el artículo.</w:t>
            </w:r>
          </w:p>
        </w:tc>
      </w:tr>
      <w:tr w:rsidR="0098634D">
        <w:trPr>
          <w:trHeight w:val="402"/>
        </w:trPr>
        <w:tc>
          <w:tcPr>
            <w:tcW w:w="3100" w:type="dxa"/>
          </w:tcPr>
          <w:p w:rsidR="0098634D" w:rsidRDefault="00DF5BC3">
            <w:pPr>
              <w:jc w:val="both"/>
              <w:rPr>
                <w:rFonts w:ascii="Arial" w:eastAsia="Arial" w:hAnsi="Arial" w:cs="Arial"/>
                <w:b/>
              </w:rPr>
            </w:pPr>
            <w:r>
              <w:rPr>
                <w:rFonts w:ascii="Arial" w:eastAsia="Arial" w:hAnsi="Arial" w:cs="Arial"/>
                <w:b/>
              </w:rPr>
              <w:t xml:space="preserve">ARTÍCULO 10°. VIGENCIA. </w:t>
            </w:r>
            <w:r>
              <w:rPr>
                <w:rFonts w:ascii="Arial" w:eastAsia="Arial" w:hAnsi="Arial" w:cs="Arial"/>
              </w:rPr>
              <w:t>El presente Acuerdo rige a partir de la fecha de su publicación.</w:t>
            </w:r>
          </w:p>
        </w:tc>
        <w:tc>
          <w:tcPr>
            <w:tcW w:w="3119" w:type="dxa"/>
          </w:tcPr>
          <w:p w:rsidR="0098634D" w:rsidRDefault="00DF5BC3">
            <w:pPr>
              <w:jc w:val="both"/>
              <w:rPr>
                <w:rFonts w:ascii="Arial" w:eastAsia="Arial" w:hAnsi="Arial" w:cs="Arial"/>
                <w:b/>
              </w:rPr>
            </w:pPr>
            <w:r>
              <w:rPr>
                <w:rFonts w:ascii="Arial" w:eastAsia="Arial" w:hAnsi="Arial" w:cs="Arial"/>
                <w:b/>
              </w:rPr>
              <w:t xml:space="preserve">ARTÍCULO 10°. VIGENCIA. </w:t>
            </w:r>
            <w:r>
              <w:rPr>
                <w:rFonts w:ascii="Arial" w:eastAsia="Arial" w:hAnsi="Arial" w:cs="Arial"/>
              </w:rPr>
              <w:t>El presente Acuerdo rige a partir de la fecha de su publicación.</w:t>
            </w:r>
          </w:p>
        </w:tc>
        <w:tc>
          <w:tcPr>
            <w:tcW w:w="2871" w:type="dxa"/>
          </w:tcPr>
          <w:p w:rsidR="0098634D" w:rsidRDefault="00DF5BC3">
            <w:pPr>
              <w:jc w:val="both"/>
              <w:rPr>
                <w:rFonts w:ascii="Arial" w:eastAsia="Arial" w:hAnsi="Arial" w:cs="Arial"/>
              </w:rPr>
            </w:pPr>
            <w:r>
              <w:rPr>
                <w:rFonts w:ascii="Arial" w:eastAsia="Arial" w:hAnsi="Arial" w:cs="Arial"/>
              </w:rPr>
              <w:t>No se modifica el artículo.</w:t>
            </w:r>
          </w:p>
        </w:tc>
      </w:tr>
    </w:tbl>
    <w:p w:rsidR="0098634D" w:rsidRDefault="0098634D">
      <w:pPr>
        <w:jc w:val="both"/>
        <w:rPr>
          <w:rFonts w:ascii="Arial" w:eastAsia="Arial" w:hAnsi="Arial" w:cs="Arial"/>
          <w:b/>
        </w:rPr>
      </w:pPr>
    </w:p>
    <w:p w:rsidR="0098634D" w:rsidRDefault="00DF5BC3">
      <w:pPr>
        <w:jc w:val="both"/>
        <w:rPr>
          <w:rFonts w:ascii="Arial" w:eastAsia="Arial" w:hAnsi="Arial" w:cs="Arial"/>
          <w:b/>
        </w:rPr>
      </w:pPr>
      <w:r>
        <w:rPr>
          <w:rFonts w:ascii="Arial" w:eastAsia="Arial" w:hAnsi="Arial" w:cs="Arial"/>
          <w:b/>
        </w:rPr>
        <w:t>IX. TEXTO PROPUESTO PARA PRIMER DEBATE CON MODIFICACIONES</w:t>
      </w:r>
    </w:p>
    <w:p w:rsidR="0098634D" w:rsidRDefault="00DF5BC3">
      <w:pPr>
        <w:jc w:val="center"/>
        <w:rPr>
          <w:rFonts w:ascii="Arial" w:eastAsia="Arial" w:hAnsi="Arial" w:cs="Arial"/>
          <w:b/>
        </w:rPr>
      </w:pPr>
      <w:r>
        <w:rPr>
          <w:rFonts w:ascii="Arial" w:eastAsia="Arial" w:hAnsi="Arial" w:cs="Arial"/>
          <w:b/>
        </w:rPr>
        <w:t>Proyecto de Acuerdo Nº 315 de 2025</w:t>
      </w:r>
    </w:p>
    <w:p w:rsidR="0098634D" w:rsidRDefault="00DF5BC3">
      <w:pPr>
        <w:jc w:val="center"/>
        <w:rPr>
          <w:rFonts w:ascii="Arial" w:eastAsia="Arial" w:hAnsi="Arial" w:cs="Arial"/>
          <w:b/>
        </w:rPr>
      </w:pPr>
      <w:r>
        <w:rPr>
          <w:rFonts w:ascii="Arial" w:eastAsia="Arial" w:hAnsi="Arial" w:cs="Arial"/>
          <w:b/>
        </w:rPr>
        <w:t xml:space="preserve">“Por medio del cual se exalta la memoria de Jessica Liliana Ramírez Gaviria QEPD, se establecen los lineamientos de la estrategia de atención integral </w:t>
      </w:r>
      <w:r>
        <w:rPr>
          <w:rFonts w:ascii="Arial" w:eastAsia="Arial" w:hAnsi="Arial" w:cs="Arial"/>
          <w:b/>
        </w:rPr>
        <w:lastRenderedPageBreak/>
        <w:t>para las personas con enfermedades huérfanas en el distrito capital y se dictan otras disposiciones"</w:t>
      </w:r>
    </w:p>
    <w:p w:rsidR="0098634D" w:rsidRDefault="00DF5BC3">
      <w:pPr>
        <w:jc w:val="center"/>
        <w:rPr>
          <w:rFonts w:ascii="Arial" w:eastAsia="Arial" w:hAnsi="Arial" w:cs="Arial"/>
          <w:b/>
        </w:rPr>
      </w:pPr>
      <w:r>
        <w:rPr>
          <w:rFonts w:ascii="Arial" w:eastAsia="Arial" w:hAnsi="Arial" w:cs="Arial"/>
          <w:b/>
        </w:rPr>
        <w:t>EL CONCEJO DE BOGOTÁ D.C.,</w:t>
      </w:r>
    </w:p>
    <w:p w:rsidR="0098634D" w:rsidRDefault="00DF5BC3">
      <w:pPr>
        <w:jc w:val="center"/>
        <w:rPr>
          <w:rFonts w:ascii="Arial" w:eastAsia="Arial" w:hAnsi="Arial" w:cs="Arial"/>
          <w:b/>
        </w:rPr>
      </w:pPr>
      <w:r>
        <w:rPr>
          <w:rFonts w:ascii="Arial" w:eastAsia="Arial" w:hAnsi="Arial" w:cs="Arial"/>
          <w:b/>
        </w:rPr>
        <w:t>En uso de sus facultades constitucionales y legales, en especial las conferidas por el numeral 1, 13 y 25 del artículo 12 del Decreto Ley 1421 de 1993</w:t>
      </w:r>
    </w:p>
    <w:p w:rsidR="0098634D" w:rsidRDefault="00DF5BC3">
      <w:pPr>
        <w:jc w:val="center"/>
        <w:rPr>
          <w:rFonts w:ascii="Arial" w:eastAsia="Arial" w:hAnsi="Arial" w:cs="Arial"/>
          <w:b/>
        </w:rPr>
      </w:pPr>
      <w:r>
        <w:rPr>
          <w:rFonts w:ascii="Arial" w:eastAsia="Arial" w:hAnsi="Arial" w:cs="Arial"/>
          <w:b/>
        </w:rPr>
        <w:t>ACUERDA</w:t>
      </w:r>
    </w:p>
    <w:p w:rsidR="0098634D" w:rsidRDefault="00DF5BC3">
      <w:pPr>
        <w:jc w:val="both"/>
        <w:rPr>
          <w:rFonts w:ascii="Arial" w:eastAsia="Arial" w:hAnsi="Arial" w:cs="Arial"/>
        </w:rPr>
      </w:pPr>
      <w:r>
        <w:rPr>
          <w:rFonts w:ascii="Arial" w:eastAsia="Arial" w:hAnsi="Arial" w:cs="Arial"/>
          <w:b/>
        </w:rPr>
        <w:t xml:space="preserve">ARTÍCULO 1º. OBJETO. </w:t>
      </w:r>
      <w:r>
        <w:rPr>
          <w:rFonts w:ascii="Arial" w:eastAsia="Arial" w:hAnsi="Arial" w:cs="Arial"/>
        </w:rPr>
        <w:t>El objeto del presente Acuerdo es exaltar la memoria de Jessica Liliana Ramírez Gaviria QEPD a través de medidas de reparación y no repetición, así como establecer los lineamientos para la formulación e implementación de la Estrategia Distrital de Atención Integral para Personas con Enfermedades Huérfanas, con el fin de aportar en la reducción de barreras y la dignificación de las condiciones de vida de esta población.</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b/>
        </w:rPr>
        <w:t>ARTÍCULO 2º. LINEAMIENTOS ESTRATEGIA DISTRITAL DE ATENCIÓN INTEGRAL PARA PERSONAS CON ENFERMEDADES HUÉRFANAS.</w:t>
      </w:r>
      <w:r>
        <w:rPr>
          <w:rFonts w:ascii="Arial" w:eastAsia="Arial" w:hAnsi="Arial" w:cs="Arial"/>
        </w:rPr>
        <w:t xml:space="preserve"> La Administración Distrital, en cabeza del Sector Salud y en coordinación con las demás entidades competentes, formulará e implementará la Estrategia Distrital de Atención Integral para Personas con Enfermedades Huérfanas, teniendo en cuenta los siguientes lineamientos:</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1. Tratamiento adecuado, oportuno e integral. La Administración Distrital, garantizará un tratamiento adecuado, oportuno e integral para las personas con enfermedades huérfanas en el Distrito. Se propenderá por el acceso y accesibilidad a los servicios de salud, en especial a pruebas de diagnóstico y seguimiento para las enfermedades huérfanas.</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2. Trato humanizado: La Administración Distrital, en cabeza de la Secretaría Distrital de Salud, realizará la formulación, implementación y evaluación de una política distrital de humanización de los servicios de salud para las personas con enfermedades huérfanas, que involucre a todos los niveles de la asistencia sanitaria y fortalezca la calidad de la atención sanitaria, que contemple, entre otras, las siguientes medidas.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a. La asistencia técnica por la Secretaría Distrital de Salud, para la formulación de programas y planes institucionales de humanización en salud que involucre a todos los niveles de asistencia sanitaria distrital.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b. El respeto por los derechos de los pacientes, sin discriminación y con predominio de un enfoque diferencial y de género que mejore la experiencia de las personas en el sector salud de Bogotá y dé respuesta efectiva a las necesidades de las personas, </w:t>
      </w:r>
      <w:r>
        <w:rPr>
          <w:rFonts w:ascii="Arial" w:eastAsia="Arial" w:hAnsi="Arial" w:cs="Arial"/>
        </w:rPr>
        <w:lastRenderedPageBreak/>
        <w:t xml:space="preserve">prestando especial atención a los casos en donde estén involucrados niños, niñas y adolescentes.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c. La capacitación al equipo de salud asistencial y administrativo, en torno a la humanización de servicios de salud para las Entidad Administradoras de Planes de Beneficios en Salud (EAPB), prestadores y demás implicados en los procesos de atención en salud, en el Distrito Capital. </w:t>
      </w:r>
    </w:p>
    <w:p w:rsidR="0098634D" w:rsidRDefault="00DF5BC3">
      <w:pPr>
        <w:jc w:val="both"/>
        <w:rPr>
          <w:rFonts w:ascii="Arial" w:eastAsia="Arial" w:hAnsi="Arial" w:cs="Arial"/>
        </w:rPr>
      </w:pPr>
      <w:r>
        <w:rPr>
          <w:rFonts w:ascii="Arial" w:eastAsia="Arial" w:hAnsi="Arial" w:cs="Arial"/>
        </w:rPr>
        <w:t xml:space="preserve">d. La cultura de la humanización en los servicios de salud centrada en las personas, promoviendo, no sólo cambios regulatorios, sino en actitudes, aptitudes, habilidades y competencias de todos los implicados en la asistencia sanitaria.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e. La atención en salud digna, con ética a los pacientes y centrada en la persona, garantizando el acceso, la oportunidad, reducción de tiempos de espera, privacidad, derecho a la intimidad.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f. Estrategias de cuidado acordes al género, la edad y al ciclo de vida del paciente y el manejo de las patologías.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g. Estrategias de humanización en la salud mental.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h. Diseño de ambientes físicos humanizados y seguros.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i. Difusión de Experiencias exitosas de humanización en el Distrito Capital.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j. Alianzas estratégicas de los implicados en la asistencia sanitaria para propiciar una atención humanizada integral.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k. La participación de los pacientes y sus familias en el desarrollo de las estrategias de humanización. </w:t>
      </w:r>
    </w:p>
    <w:p w:rsidR="0098634D" w:rsidRDefault="00DF5BC3">
      <w:pPr>
        <w:jc w:val="both"/>
        <w:rPr>
          <w:rFonts w:ascii="Arial" w:eastAsia="Arial" w:hAnsi="Arial" w:cs="Arial"/>
        </w:rPr>
      </w:pPr>
      <w:r>
        <w:rPr>
          <w:rFonts w:ascii="Arial" w:eastAsia="Arial" w:hAnsi="Arial" w:cs="Arial"/>
        </w:rPr>
        <w:t xml:space="preserve"> </w:t>
      </w:r>
    </w:p>
    <w:p w:rsidR="0098634D" w:rsidRDefault="00DF5BC3">
      <w:pPr>
        <w:jc w:val="both"/>
        <w:rPr>
          <w:rFonts w:ascii="Arial" w:eastAsia="Arial" w:hAnsi="Arial" w:cs="Arial"/>
        </w:rPr>
      </w:pPr>
      <w:r>
        <w:rPr>
          <w:rFonts w:ascii="Arial" w:eastAsia="Arial" w:hAnsi="Arial" w:cs="Arial"/>
        </w:rPr>
        <w:t>3. Atención psicosocial. Ofrecer en las Subredes Integradas de Servicios de Salud E.S.E. o las que hagan sus veces un plan especializado e integral de atención psicosocial con controles periódicos para las personas con enfermedades huérfanas, sus familias y cuidadores.</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4. Asesoría genética. Brindar en las Subredes Integradas de Servicios de Salud E.S.E. del Distrito Capital o las que hagan sus veces asesoría genética y acompañamiento por parte de profesionales de esta especialidad a pacientes y familias con diagnóstico de enfermedades huérfanas.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5. Inclusión social y laboral. Otorgar prioridad a las personas con enfermedades huérfanas en el acceso a planes, programas, estrategias, proyectos, acciones y </w:t>
      </w:r>
      <w:r>
        <w:rPr>
          <w:rFonts w:ascii="Arial" w:eastAsia="Arial" w:hAnsi="Arial" w:cs="Arial"/>
        </w:rPr>
        <w:lastRenderedPageBreak/>
        <w:t xml:space="preserve">convocatorias ofertadas por el Distrito que otorguen beneficios, subvenciones o incentivos de empleo, emprendimiento, vivienda, educación, entre otros, propiciando así su inclusión social, generación de ingresos y materialización de su proyecto de vida.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6. Inclusión educativa. La Administración Distrital, en cabeza de la Secretaría de Educación Distrital, implementará. programas y proyectos enfocados en las personas con enfermedades huérfanas. Así mismo, garantizará un porcentaje mínimo de cupos escolares a la población con enfermedades huérfanas, no solo a nivel de primaria y secundaria, sino también a quienes pretendan adelantar sus estudios universitarios.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7. Sensibilización. Implementar por la Administración Distrital, en cabeza de la Secretaría Distrital de Salud, la Secretaría de Educación del Distrito y la Secretaría de Cultura, Recreación y Deporte, campañas de sensibilización innovadoras, periódicas y con diseño universal dirigidas a la ciudadanía en general que concienticen sobre las enfermedades huérfanas, enfatizando en la valía, las capacidades y los talentos de las personas que viven con ellas, como también previniendo su estigmatización.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8. Guía de práctica clínica. Realizar las gestiones y alianzas necesarias con el Gobierno Nacional para la elaboración y aplicación de guías de práctica clínica actualizadas para el diagnóstico y tratamiento de enfermedades huérfanas en las Subredes Integradas de Servicios de Salud E.S.E. del Distrito Capital o las que hagan sus veces.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9. Centros de excelencia. Ejecutar las acciones pertinentes para que en el mediano plazo en la red hospitalaria de la ciudad se cuente con al menos un (1) centro de excelencia médica para el diagnóstico y tratamiento de epidermólisis bullosa que sirva como piloto para que posteriormente se amplíe a las demás enfermedades huérfanas.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b/>
        </w:rPr>
        <w:t>ARTÍCULO 3º. CARACTERIZACIÓN.</w:t>
      </w:r>
      <w:r>
        <w:rPr>
          <w:rFonts w:ascii="Arial" w:eastAsia="Arial" w:hAnsi="Arial" w:cs="Arial"/>
        </w:rPr>
        <w:t xml:space="preserve"> La Administración Distrital, en cabeza de la Secretaría Distrital de Salud y en coordinación con las demás entidades competentes, realizará periódicamente caracterizaciones de las personas con enfermedades huérfanas domiciliadas en la ciudad, así como de sus cuidadores y cuidadoras. Lo anterior, con el fin de conocer en detalle sus características sociodemográficas y condiciones de vida.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Parágrafo 1. Los resultados de esta caracterización serán divulgados a la ciudadanía general a través del sitio web que la Administración Distrital disponga para ello.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Parágrafo 2. Los hallazgos de las caracterizaciones de las que trata el presente artículo serán insumos claves para la implementación de la Estrategia Distrital de Atención Integral para Personas con Enfermedades Huérfanas.</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b/>
        </w:rPr>
        <w:t>ARTÍCULO 4º. CÁTEDRA JESSICA LILIANA RAMÍREZ GAVIRIA.</w:t>
      </w:r>
      <w:r>
        <w:rPr>
          <w:rFonts w:ascii="Arial" w:eastAsia="Arial" w:hAnsi="Arial" w:cs="Arial"/>
        </w:rPr>
        <w:t xml:space="preserve"> La Administración Distrital, en cabeza del Sector Salud, creará la Cátedra Jessica Liliana Ramírez Gaviria, en el marco de la cual en los hospitales y centros de salud del Distrito Capital se realizarán periódicamente jornadas de capacitación y sensibilización a todo su personal sobre las enfermedades huérfanas, en las cuales se abordará la importancia del trato humanizado y oportuno a esta población, sus familias y cuidadores, incluyendo enfoques diferenciales y de priorización. </w:t>
      </w:r>
    </w:p>
    <w:p w:rsidR="0098634D" w:rsidRDefault="00DF5BC3">
      <w:pPr>
        <w:jc w:val="both"/>
        <w:rPr>
          <w:rFonts w:ascii="Arial" w:eastAsia="Arial" w:hAnsi="Arial" w:cs="Arial"/>
        </w:rPr>
      </w:pPr>
      <w:r>
        <w:rPr>
          <w:rFonts w:ascii="Arial" w:eastAsia="Arial" w:hAnsi="Arial" w:cs="Arial"/>
        </w:rPr>
        <w:t>Parágrafo. La Cátedra Jessica Liliana Ramírez Gaviria cobijará también a los estudiantes que desarrollan residencias y/o prácticas en la red hospitalaria del Distrito Capital.</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b/>
        </w:rPr>
        <w:t>ARTÍCULO 5º. MENCIÓN DE HONOR JESSICA LILIANA RAMÍREZ GAVIRIA.</w:t>
      </w:r>
      <w:r>
        <w:rPr>
          <w:rFonts w:ascii="Arial" w:eastAsia="Arial" w:hAnsi="Arial" w:cs="Arial"/>
        </w:rPr>
        <w:t xml:space="preserve"> Créase la “Mención de Honor Jessica Liliana Ramírez Gaviria” del Concejo de Bogotá D.C., con el fin de reconocer y exaltar el trabajo de las personas naturales y/o jurídicas, así como de las organizaciones de la sociedad civil, que trabajan por la defensa de los derechos de las personas con enfermedades huérfanas de la ciudad.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Parágrafo 1. La Mención de Honor “Jessica Liliana Ramírez Gaviria” constará de medalla; carpeta que contendrá en nota de estilo copia de la Resolución por medio de la cual se concede este reconocimiento y una publicación en la página web del Concejo de Bogotá D.C. y la Secretaría Distrital de Salud respecto al trabajo o actividad objeto de la condecoración.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Parágrafo 2. La Mención de Honor de que trata el presente artículo será entregada el último día del mes de febrero de cada año, en el marco de la conmemoración del Día Mundial de las Enfermedades Huérfanas.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Parágrafo 3. Los gastos que se ocasionen por la creación e imposición de esta Mención de Honor estarán a cargo del Fondo Cuenta del Concejo de Bogotá, D.C., o por la entidad que opere como ordenadora del gasto del Concejo de Bogotá, D.C.</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b/>
        </w:rPr>
        <w:t>ARTÍCULO 6º. REPRESENTACIÓN ARTÍSTICA.</w:t>
      </w:r>
      <w:r>
        <w:rPr>
          <w:rFonts w:ascii="Arial" w:eastAsia="Arial" w:hAnsi="Arial" w:cs="Arial"/>
        </w:rPr>
        <w:t xml:space="preserve"> La Administración Distrital, en cabeza de la Subred Integrada de Servicios de Salud Sur E.S.E y Capital Salud EPS-S S.A.S. en coordinación con la Secretaría Jurídica Distrital y la Secretaría Distrital de Cultura, Recreación y Deporte, realizará una representación artística tipo mural en el Hospital de Kennedy, lugar en el cual nació y falleció Jessica Liliana </w:t>
      </w:r>
      <w:r>
        <w:rPr>
          <w:rFonts w:ascii="Arial" w:eastAsia="Arial" w:hAnsi="Arial" w:cs="Arial"/>
        </w:rPr>
        <w:lastRenderedPageBreak/>
        <w:t xml:space="preserve">Ramírez Gaviria QEPD, con el fin de dignificar su memoria y reivindicar la lucha de ella y de su familia en el tratamiento de la epidermólisis bullosa. </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rPr>
        <w:t xml:space="preserve">Parágrafo 1. La persona que realizará la intervención artística de la que trata el presente artículo será escogida de manera conjunta entre los familiares de Jessica Liliana Ramírez Gaviria QEDP y la Secretaría Distrital de Cultura, Recreación y Deporte. </w:t>
      </w:r>
    </w:p>
    <w:p w:rsidR="0098634D" w:rsidRDefault="00DF5BC3">
      <w:pPr>
        <w:jc w:val="both"/>
        <w:rPr>
          <w:rFonts w:ascii="Arial" w:eastAsia="Arial" w:hAnsi="Arial" w:cs="Arial"/>
        </w:rPr>
      </w:pPr>
      <w:r>
        <w:rPr>
          <w:rFonts w:ascii="Arial" w:eastAsia="Arial" w:hAnsi="Arial" w:cs="Arial"/>
        </w:rPr>
        <w:t>Parágrafo 2. La representación artística contará con un código “QR” el cual contendrá una remembranza de Jessica Liliana Ramírez Gaviria QEPD, su fecha de fallecimiento, el reconocimiento de responsabilidad realizado por el Estado colombiano y un mensaje de apoyo a los familiares y pacientes con epidermólisis bullosa.</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b/>
        </w:rPr>
        <w:t xml:space="preserve">ARTÍCULO 7º. ENTIDADES RESPONSABLES. </w:t>
      </w:r>
      <w:r>
        <w:rPr>
          <w:rFonts w:ascii="Arial" w:eastAsia="Arial" w:hAnsi="Arial" w:cs="Arial"/>
        </w:rPr>
        <w:t>La Administración Distrital implementará las disposiciones del presente Acuerdo a través de sus entidades competentes, bajo el liderazgo de la Secretaría Distrital de Salud, incluyendo a las Subredes Integradas de Servicios de Salud E.S.E. y Capital Salud E.P.S. S.A.S.</w:t>
      </w:r>
    </w:p>
    <w:p w:rsidR="0098634D" w:rsidRDefault="0098634D">
      <w:pPr>
        <w:jc w:val="both"/>
        <w:rPr>
          <w:rFonts w:ascii="Arial" w:eastAsia="Arial" w:hAnsi="Arial" w:cs="Arial"/>
        </w:rPr>
      </w:pPr>
    </w:p>
    <w:p w:rsidR="0098634D" w:rsidRDefault="00DF5BC3">
      <w:pPr>
        <w:jc w:val="both"/>
        <w:rPr>
          <w:rFonts w:ascii="Arial" w:eastAsia="Arial" w:hAnsi="Arial" w:cs="Arial"/>
          <w:b/>
        </w:rPr>
      </w:pPr>
      <w:r>
        <w:rPr>
          <w:rFonts w:ascii="Arial" w:eastAsia="Arial" w:hAnsi="Arial" w:cs="Arial"/>
          <w:b/>
        </w:rPr>
        <w:t xml:space="preserve">ARTÍCULO 8º. INFORMES. </w:t>
      </w:r>
      <w:r>
        <w:rPr>
          <w:rFonts w:ascii="Arial" w:eastAsia="Arial" w:hAnsi="Arial" w:cs="Arial"/>
        </w:rPr>
        <w:t>El último día del mes de febrero de cada año, en el marco del Día Mundial de las Enfermedades Huérfanas, las entidades responsables presentarán un informe integral ante el Concejo de Bogotá D. C. sobre la implementación de las disposiciones del presente Acuerdo.</w:t>
      </w:r>
      <w:r>
        <w:rPr>
          <w:rFonts w:ascii="Arial" w:eastAsia="Arial" w:hAnsi="Arial" w:cs="Arial"/>
          <w:b/>
        </w:rPr>
        <w:t xml:space="preserve"> </w:t>
      </w:r>
    </w:p>
    <w:p w:rsidR="0098634D" w:rsidRDefault="0098634D">
      <w:pPr>
        <w:jc w:val="both"/>
        <w:rPr>
          <w:rFonts w:ascii="Arial" w:eastAsia="Arial" w:hAnsi="Arial" w:cs="Arial"/>
          <w:b/>
        </w:rPr>
      </w:pPr>
    </w:p>
    <w:p w:rsidR="0098634D" w:rsidRDefault="00DF5BC3">
      <w:pPr>
        <w:jc w:val="both"/>
        <w:rPr>
          <w:rFonts w:ascii="Arial" w:eastAsia="Arial" w:hAnsi="Arial" w:cs="Arial"/>
        </w:rPr>
      </w:pPr>
      <w:r>
        <w:rPr>
          <w:rFonts w:ascii="Arial" w:eastAsia="Arial" w:hAnsi="Arial" w:cs="Arial"/>
          <w:b/>
        </w:rPr>
        <w:t xml:space="preserve">ARTÍCULO 9º. REGLAMENTACIÓN E IMPLEMENTACIÓN. </w:t>
      </w:r>
      <w:r>
        <w:rPr>
          <w:rFonts w:ascii="Arial" w:eastAsia="Arial" w:hAnsi="Arial" w:cs="Arial"/>
        </w:rPr>
        <w:t>La Administración Distrital reglamentará e iniciará la implementación del presente Acuerdo dentro de los seis (6) meses siguientes a su entrada en vigencia.</w:t>
      </w:r>
    </w:p>
    <w:p w:rsidR="0098634D" w:rsidRDefault="0098634D">
      <w:pPr>
        <w:jc w:val="both"/>
        <w:rPr>
          <w:rFonts w:ascii="Arial" w:eastAsia="Arial" w:hAnsi="Arial" w:cs="Arial"/>
        </w:rPr>
      </w:pPr>
    </w:p>
    <w:p w:rsidR="0098634D" w:rsidRDefault="00DF5BC3">
      <w:pPr>
        <w:jc w:val="both"/>
        <w:rPr>
          <w:rFonts w:ascii="Arial" w:eastAsia="Arial" w:hAnsi="Arial" w:cs="Arial"/>
        </w:rPr>
      </w:pPr>
      <w:r>
        <w:rPr>
          <w:rFonts w:ascii="Arial" w:eastAsia="Arial" w:hAnsi="Arial" w:cs="Arial"/>
          <w:b/>
        </w:rPr>
        <w:t xml:space="preserve">ARTÍCULO 10°. VIGENCIA. </w:t>
      </w:r>
      <w:r>
        <w:rPr>
          <w:rFonts w:ascii="Arial" w:eastAsia="Arial" w:hAnsi="Arial" w:cs="Arial"/>
        </w:rPr>
        <w:t>El presente Acuerdo rige a partir de la fecha de su publicación.</w:t>
      </w: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p w:rsidR="0098634D" w:rsidRDefault="0098634D">
      <w:pPr>
        <w:jc w:val="both"/>
        <w:rPr>
          <w:rFonts w:ascii="Arial" w:eastAsia="Arial" w:hAnsi="Arial" w:cs="Arial"/>
        </w:rPr>
      </w:pPr>
    </w:p>
    <w:sectPr w:rsidR="0098634D">
      <w:headerReference w:type="default" r:id="rId2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BC3" w:rsidRDefault="00DF5BC3">
      <w:r>
        <w:separator/>
      </w:r>
    </w:p>
  </w:endnote>
  <w:endnote w:type="continuationSeparator" w:id="0">
    <w:p w:rsidR="00DF5BC3" w:rsidRDefault="00DF5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BC3" w:rsidRDefault="00DF5BC3">
      <w:r>
        <w:separator/>
      </w:r>
    </w:p>
  </w:footnote>
  <w:footnote w:type="continuationSeparator" w:id="0">
    <w:p w:rsidR="00DF5BC3" w:rsidRDefault="00DF5BC3">
      <w:r>
        <w:continuationSeparator/>
      </w:r>
    </w:p>
  </w:footnote>
  <w:footnote w:id="1">
    <w:p w:rsidR="0098634D" w:rsidRDefault="00DF5BC3">
      <w:pPr>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 xml:space="preserve"> FDA (2024) Rare Diseases at FDA. Tomado de: </w:t>
      </w:r>
      <w:hyperlink r:id="rId1">
        <w:r>
          <w:rPr>
            <w:rFonts w:ascii="Calibri" w:eastAsia="Calibri" w:hAnsi="Calibri" w:cs="Calibri"/>
            <w:color w:val="0563C1"/>
            <w:sz w:val="20"/>
            <w:szCs w:val="20"/>
            <w:u w:val="single"/>
          </w:rPr>
          <w:t>https://www.fda.gov/patients/rare-diseases-fda</w:t>
        </w:r>
      </w:hyperlink>
      <w:r>
        <w:rPr>
          <w:rFonts w:ascii="Calibri" w:eastAsia="Calibri" w:hAnsi="Calibri" w:cs="Calibri"/>
          <w:color w:val="000000"/>
          <w:sz w:val="20"/>
          <w:szCs w:val="20"/>
        </w:rPr>
        <w:t xml:space="preserve"> </w:t>
      </w:r>
    </w:p>
  </w:footnote>
  <w:footnote w:id="2">
    <w:p w:rsidR="0098634D" w:rsidRDefault="00DF5BC3">
      <w:pPr>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 xml:space="preserve"> CDA (n.d.) Medicamentos para enfermedades raras: registros basados en enfermedades raras. Tomado de: </w:t>
      </w:r>
      <w:hyperlink r:id="rId2">
        <w:r>
          <w:rPr>
            <w:rFonts w:ascii="Calibri" w:eastAsia="Calibri" w:hAnsi="Calibri" w:cs="Calibri"/>
            <w:color w:val="0563C1"/>
            <w:sz w:val="20"/>
            <w:szCs w:val="20"/>
            <w:u w:val="single"/>
          </w:rPr>
          <w:t>https://www.cda-amc.ca/drugs-rare-diseases-rare-disease-based-registries</w:t>
        </w:r>
      </w:hyperlink>
      <w:r>
        <w:rPr>
          <w:rFonts w:ascii="Calibri" w:eastAsia="Calibri" w:hAnsi="Calibri" w:cs="Calibri"/>
          <w:color w:val="000000"/>
          <w:sz w:val="20"/>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34D" w:rsidRDefault="0098634D">
    <w:pPr>
      <w:widowControl w:val="0"/>
      <w:pBdr>
        <w:top w:val="nil"/>
        <w:left w:val="nil"/>
        <w:bottom w:val="nil"/>
        <w:right w:val="nil"/>
        <w:between w:val="nil"/>
      </w:pBdr>
      <w:spacing w:line="276" w:lineRule="auto"/>
      <w:jc w:val="center"/>
      <w:rPr>
        <w:rFonts w:ascii="Arial" w:eastAsia="Arial" w:hAnsi="Arial" w:cs="Arial"/>
        <w:b/>
        <w:color w:val="000000"/>
      </w:rPr>
    </w:pPr>
  </w:p>
  <w:tbl>
    <w:tblPr>
      <w:tblStyle w:val="a7"/>
      <w:tblW w:w="8830" w:type="dxa"/>
      <w:tblInd w:w="0" w:type="dxa"/>
      <w:tblLayout w:type="fixed"/>
      <w:tblLook w:val="0000" w:firstRow="0" w:lastRow="0" w:firstColumn="0" w:lastColumn="0" w:noHBand="0" w:noVBand="0"/>
    </w:tblPr>
    <w:tblGrid>
      <w:gridCol w:w="2361"/>
      <w:gridCol w:w="4235"/>
      <w:gridCol w:w="2234"/>
    </w:tblGrid>
    <w:tr w:rsidR="0098634D">
      <w:trPr>
        <w:trHeight w:val="440"/>
      </w:trPr>
      <w:tc>
        <w:tcPr>
          <w:tcW w:w="2361" w:type="dxa"/>
          <w:vMerge w:val="restart"/>
          <w:tcBorders>
            <w:top w:val="single" w:sz="4" w:space="0" w:color="000000"/>
            <w:left w:val="single" w:sz="4" w:space="0" w:color="000000"/>
            <w:right w:val="single" w:sz="4" w:space="0" w:color="000000"/>
          </w:tcBorders>
          <w:vAlign w:val="center"/>
        </w:tcPr>
        <w:p w:rsidR="0098634D" w:rsidRDefault="00DF5BC3">
          <w:pPr>
            <w:spacing w:line="276" w:lineRule="auto"/>
            <w:jc w:val="center"/>
            <w:rPr>
              <w:rFonts w:ascii="Arial" w:eastAsia="Arial" w:hAnsi="Arial" w:cs="Arial"/>
              <w:b/>
              <w:sz w:val="16"/>
              <w:szCs w:val="16"/>
            </w:rPr>
          </w:pPr>
          <w:r>
            <w:rPr>
              <w:rFonts w:ascii="Arial" w:eastAsia="Arial" w:hAnsi="Arial" w:cs="Arial"/>
              <w:b/>
              <w:noProof/>
              <w:sz w:val="16"/>
              <w:szCs w:val="16"/>
              <w:lang w:val="es-419" w:eastAsia="es-419"/>
            </w:rPr>
            <w:drawing>
              <wp:inline distT="0" distB="0" distL="0" distR="0">
                <wp:extent cx="749935" cy="883920"/>
                <wp:effectExtent l="0" t="0" r="0" b="0"/>
                <wp:docPr id="17549325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nil"/>
            <w:bottom w:val="single" w:sz="4" w:space="0" w:color="000000"/>
            <w:right w:val="single" w:sz="4" w:space="0" w:color="000000"/>
          </w:tcBorders>
          <w:vAlign w:val="center"/>
        </w:tcPr>
        <w:p w:rsidR="0098634D" w:rsidRDefault="00DF5BC3">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98634D" w:rsidRDefault="00DF5BC3">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98634D">
      <w:trPr>
        <w:trHeight w:val="440"/>
      </w:trPr>
      <w:tc>
        <w:tcPr>
          <w:tcW w:w="2361" w:type="dxa"/>
          <w:vMerge/>
          <w:tcBorders>
            <w:top w:val="single" w:sz="4" w:space="0" w:color="000000"/>
            <w:left w:val="single" w:sz="4" w:space="0" w:color="000000"/>
            <w:right w:val="single" w:sz="4" w:space="0" w:color="000000"/>
          </w:tcBorders>
          <w:vAlign w:val="center"/>
        </w:tcPr>
        <w:p w:rsidR="0098634D" w:rsidRDefault="0098634D">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tcBorders>
            <w:top w:val="single" w:sz="4" w:space="0" w:color="000000"/>
            <w:left w:val="nil"/>
            <w:right w:val="single" w:sz="4" w:space="0" w:color="000000"/>
          </w:tcBorders>
          <w:vAlign w:val="center"/>
        </w:tcPr>
        <w:p w:rsidR="0098634D" w:rsidRDefault="00DF5BC3">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98634D" w:rsidRDefault="00DF5BC3">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98634D">
      <w:trPr>
        <w:trHeight w:val="440"/>
      </w:trPr>
      <w:tc>
        <w:tcPr>
          <w:tcW w:w="2361" w:type="dxa"/>
          <w:vMerge/>
          <w:tcBorders>
            <w:top w:val="single" w:sz="4" w:space="0" w:color="000000"/>
            <w:left w:val="single" w:sz="4" w:space="0" w:color="000000"/>
            <w:right w:val="single" w:sz="4" w:space="0" w:color="000000"/>
          </w:tcBorders>
          <w:vAlign w:val="center"/>
        </w:tcPr>
        <w:p w:rsidR="0098634D" w:rsidRDefault="0098634D">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tcBorders>
            <w:top w:val="single" w:sz="4" w:space="0" w:color="000000"/>
            <w:left w:val="nil"/>
            <w:right w:val="single" w:sz="4" w:space="0" w:color="000000"/>
          </w:tcBorders>
          <w:vAlign w:val="center"/>
        </w:tcPr>
        <w:p w:rsidR="0098634D" w:rsidRDefault="0098634D">
          <w:pPr>
            <w:widowControl w:val="0"/>
            <w:pBdr>
              <w:top w:val="nil"/>
              <w:left w:val="nil"/>
              <w:bottom w:val="nil"/>
              <w:right w:val="nil"/>
              <w:between w:val="nil"/>
            </w:pBdr>
            <w:spacing w:line="276" w:lineRule="auto"/>
            <w:rPr>
              <w:rFonts w:ascii="Arial" w:eastAsia="Arial" w:hAnsi="Arial" w:cs="Arial"/>
              <w:sz w:val="16"/>
              <w:szCs w:val="16"/>
            </w:rPr>
          </w:pPr>
        </w:p>
      </w:tc>
      <w:tc>
        <w:tcPr>
          <w:tcW w:w="2234" w:type="dxa"/>
          <w:tcBorders>
            <w:top w:val="single" w:sz="4" w:space="0" w:color="000000"/>
            <w:left w:val="nil"/>
            <w:bottom w:val="single" w:sz="4" w:space="0" w:color="000000"/>
            <w:right w:val="single" w:sz="4" w:space="0" w:color="000000"/>
          </w:tcBorders>
          <w:vAlign w:val="center"/>
        </w:tcPr>
        <w:p w:rsidR="0098634D" w:rsidRDefault="00DF5BC3">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98634D" w:rsidRDefault="0098634D">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078B9"/>
    <w:multiLevelType w:val="multilevel"/>
    <w:tmpl w:val="31A012F6"/>
    <w:lvl w:ilvl="0">
      <w:start w:val="5"/>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F067F41"/>
    <w:multiLevelType w:val="multilevel"/>
    <w:tmpl w:val="43CC68A0"/>
    <w:lvl w:ilvl="0">
      <w:start w:val="1"/>
      <w:numFmt w:val="bullet"/>
      <w:lvlText w:val="●"/>
      <w:lvlJc w:val="left"/>
      <w:pPr>
        <w:ind w:left="720" w:hanging="360"/>
      </w:pPr>
      <w:rPr>
        <w:rFonts w:ascii="Noto Sans Symbols" w:eastAsia="Noto Sans Symbols" w:hAnsi="Noto Sans Symbols" w:cs="Noto Sans Symbols"/>
        <w:sz w:val="20"/>
        <w:szCs w:val="20"/>
      </w:rPr>
    </w:lvl>
    <w:lvl w:ilvl="1">
      <w:start w:val="6"/>
      <w:numFmt w:val="lowerRoman"/>
      <w:lvlText w:val="%2."/>
      <w:lvlJc w:val="left"/>
      <w:pPr>
        <w:ind w:left="1800" w:hanging="72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4EF13246"/>
    <w:multiLevelType w:val="multilevel"/>
    <w:tmpl w:val="ABF2E1A2"/>
    <w:lvl w:ilvl="0">
      <w:start w:val="1"/>
      <w:numFmt w:val="upperRoman"/>
      <w:lvlText w:val="%1."/>
      <w:lvlJc w:val="left"/>
      <w:pPr>
        <w:ind w:left="1080" w:hanging="720"/>
      </w:p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6D477EF4"/>
    <w:multiLevelType w:val="multilevel"/>
    <w:tmpl w:val="50622E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1383BF8"/>
    <w:multiLevelType w:val="multilevel"/>
    <w:tmpl w:val="8D2E97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lowerRoman"/>
      <w:lvlText w:val="%2."/>
      <w:lvlJc w:val="left"/>
      <w:pPr>
        <w:ind w:left="1800" w:hanging="72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34D"/>
    <w:rsid w:val="005C26AA"/>
    <w:rsid w:val="00792858"/>
    <w:rsid w:val="0098634D"/>
    <w:rsid w:val="00A53AAB"/>
    <w:rsid w:val="00DF5B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FB883"/>
  <w15:docId w15:val="{26887AB8-684F-4280-8DB0-9ED793F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BEF"/>
  </w:style>
  <w:style w:type="paragraph" w:styleId="Ttulo1">
    <w:name w:val="heading 1"/>
    <w:basedOn w:val="Normal"/>
    <w:next w:val="Normal"/>
    <w:uiPriority w:val="9"/>
    <w:qFormat/>
    <w:pPr>
      <w:keepNext/>
      <w:keepLines/>
      <w:spacing w:before="480" w:after="120" w:line="259" w:lineRule="auto"/>
      <w:outlineLvl w:val="0"/>
    </w:pPr>
    <w:rPr>
      <w:rFonts w:ascii="Calibri" w:eastAsia="Calibri" w:hAnsi="Calibri" w:cs="Calibri"/>
      <w:b/>
      <w:sz w:val="48"/>
      <w:szCs w:val="48"/>
    </w:rPr>
  </w:style>
  <w:style w:type="paragraph" w:styleId="Ttulo2">
    <w:name w:val="heading 2"/>
    <w:basedOn w:val="Normal"/>
    <w:next w:val="Normal"/>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Ttulo3">
    <w:name w:val="heading 3"/>
    <w:basedOn w:val="Normal"/>
    <w:next w:val="Normal"/>
    <w:uiPriority w:val="9"/>
    <w:semiHidden/>
    <w:unhideWhenUsed/>
    <w:qFormat/>
    <w:pPr>
      <w:keepNext/>
      <w:keepLines/>
      <w:spacing w:before="280" w:after="80" w:line="259" w:lineRule="auto"/>
      <w:outlineLvl w:val="2"/>
    </w:pPr>
    <w:rPr>
      <w:rFonts w:ascii="Calibri" w:eastAsia="Calibri" w:hAnsi="Calibri" w:cs="Calibri"/>
      <w:b/>
      <w:sz w:val="28"/>
      <w:szCs w:val="28"/>
    </w:rPr>
  </w:style>
  <w:style w:type="paragraph" w:styleId="Ttulo4">
    <w:name w:val="heading 4"/>
    <w:basedOn w:val="Normal"/>
    <w:next w:val="Normal"/>
    <w:uiPriority w:val="9"/>
    <w:semiHidden/>
    <w:unhideWhenUsed/>
    <w:qFormat/>
    <w:pPr>
      <w:keepNext/>
      <w:keepLines/>
      <w:spacing w:before="240" w:after="40" w:line="259" w:lineRule="auto"/>
      <w:outlineLvl w:val="3"/>
    </w:pPr>
    <w:rPr>
      <w:rFonts w:ascii="Calibri" w:eastAsia="Calibri" w:hAnsi="Calibri" w:cs="Calibri"/>
      <w:b/>
    </w:rPr>
  </w:style>
  <w:style w:type="paragraph" w:styleId="Ttulo5">
    <w:name w:val="heading 5"/>
    <w:basedOn w:val="Normal"/>
    <w:next w:val="Normal"/>
    <w:uiPriority w:val="9"/>
    <w:semiHidden/>
    <w:unhideWhenUsed/>
    <w:qFormat/>
    <w:pPr>
      <w:keepNext/>
      <w:keepLines/>
      <w:spacing w:before="220" w:after="40" w:line="259" w:lineRule="auto"/>
      <w:outlineLvl w:val="4"/>
    </w:pPr>
    <w:rPr>
      <w:rFonts w:ascii="Calibri" w:eastAsia="Calibri" w:hAnsi="Calibri" w:cs="Calibri"/>
      <w:b/>
      <w:sz w:val="22"/>
      <w:szCs w:val="22"/>
    </w:rPr>
  </w:style>
  <w:style w:type="paragraph" w:styleId="Ttulo6">
    <w:name w:val="heading 6"/>
    <w:basedOn w:val="Normal"/>
    <w:next w:val="Normal"/>
    <w:uiPriority w:val="9"/>
    <w:semiHidden/>
    <w:unhideWhenUsed/>
    <w:qFormat/>
    <w:pPr>
      <w:keepNext/>
      <w:keepLines/>
      <w:spacing w:before="200" w:after="40" w:line="259" w:lineRule="auto"/>
      <w:outlineLvl w:val="5"/>
    </w:pPr>
    <w:rPr>
      <w:rFonts w:ascii="Calibri" w:eastAsia="Calibri" w:hAnsi="Calibri" w:cs="Calibri"/>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line="259" w:lineRule="auto"/>
    </w:pPr>
    <w:rPr>
      <w:rFonts w:ascii="Calibri" w:eastAsia="Calibri" w:hAnsi="Calibri" w:cs="Calibri"/>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pPr>
    <w:rPr>
      <w:rFonts w:ascii="Calibri" w:eastAsia="Calibri" w:hAnsi="Calibri" w:cs="Calibri"/>
      <w:sz w:val="22"/>
      <w:szCs w:val="22"/>
    </w:r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pPr>
    <w:rPr>
      <w:rFonts w:ascii="Calibri" w:eastAsia="Calibri" w:hAnsi="Calibri" w:cs="Calibri"/>
      <w:sz w:val="22"/>
      <w:szCs w:val="22"/>
    </w:r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spacing w:after="160" w:line="259" w:lineRule="auto"/>
      <w:ind w:left="720"/>
      <w:contextualSpacing/>
    </w:pPr>
    <w:rPr>
      <w:rFonts w:ascii="Calibri" w:eastAsia="Calibri" w:hAnsi="Calibri" w:cs="Calibri"/>
      <w:sz w:val="22"/>
      <w:szCs w:val="22"/>
    </w:rPr>
  </w:style>
  <w:style w:type="paragraph" w:styleId="Subttulo">
    <w:name w:val="Subtitle"/>
    <w:basedOn w:val="Normal"/>
    <w:next w:val="Normal"/>
    <w:pPr>
      <w:keepNext/>
      <w:keepLines/>
      <w:spacing w:before="360" w:after="80" w:line="259" w:lineRule="auto"/>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pPr>
    <w:rPr>
      <w:lang w:val="es-ES"/>
    </w:r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left w:w="115" w:type="dxa"/>
        <w:right w:w="115" w:type="dxa"/>
      </w:tblCellMar>
    </w:tblPr>
  </w:style>
  <w:style w:type="character" w:styleId="Refdecomentario">
    <w:name w:val="annotation reference"/>
    <w:basedOn w:val="Fuentedeprrafopredeter"/>
    <w:uiPriority w:val="99"/>
    <w:semiHidden/>
    <w:unhideWhenUsed/>
    <w:rsid w:val="00155D93"/>
    <w:rPr>
      <w:sz w:val="16"/>
      <w:szCs w:val="16"/>
    </w:rPr>
  </w:style>
  <w:style w:type="paragraph" w:styleId="Textocomentario">
    <w:name w:val="annotation text"/>
    <w:basedOn w:val="Normal"/>
    <w:link w:val="TextocomentarioCar"/>
    <w:uiPriority w:val="99"/>
    <w:semiHidden/>
    <w:unhideWhenUsed/>
    <w:rsid w:val="00155D93"/>
    <w:pPr>
      <w:spacing w:after="160"/>
    </w:pPr>
    <w:rPr>
      <w:rFonts w:ascii="Calibri" w:eastAsia="Calibri" w:hAnsi="Calibri" w:cs="Calibri"/>
      <w:sz w:val="20"/>
      <w:szCs w:val="20"/>
    </w:rPr>
  </w:style>
  <w:style w:type="character" w:customStyle="1" w:styleId="TextocomentarioCar">
    <w:name w:val="Texto comentario Car"/>
    <w:basedOn w:val="Fuentedeprrafopredeter"/>
    <w:link w:val="Textocomentario"/>
    <w:uiPriority w:val="99"/>
    <w:semiHidden/>
    <w:rsid w:val="00155D93"/>
    <w:rPr>
      <w:sz w:val="20"/>
      <w:szCs w:val="20"/>
    </w:rPr>
  </w:style>
  <w:style w:type="paragraph" w:styleId="Asuntodelcomentario">
    <w:name w:val="annotation subject"/>
    <w:basedOn w:val="Textocomentario"/>
    <w:next w:val="Textocomentario"/>
    <w:link w:val="AsuntodelcomentarioCar"/>
    <w:uiPriority w:val="99"/>
    <w:semiHidden/>
    <w:unhideWhenUsed/>
    <w:rsid w:val="00155D93"/>
    <w:rPr>
      <w:b/>
      <w:bCs/>
    </w:rPr>
  </w:style>
  <w:style w:type="character" w:customStyle="1" w:styleId="AsuntodelcomentarioCar">
    <w:name w:val="Asunto del comentario Car"/>
    <w:basedOn w:val="TextocomentarioCar"/>
    <w:link w:val="Asuntodelcomentario"/>
    <w:uiPriority w:val="99"/>
    <w:semiHidden/>
    <w:rsid w:val="00155D93"/>
    <w:rPr>
      <w:b/>
      <w:bCs/>
      <w:sz w:val="20"/>
      <w:szCs w:val="20"/>
    </w:rPr>
  </w:style>
  <w:style w:type="character" w:styleId="Hipervnculo">
    <w:name w:val="Hyperlink"/>
    <w:basedOn w:val="Fuentedeprrafopredeter"/>
    <w:uiPriority w:val="99"/>
    <w:unhideWhenUsed/>
    <w:rsid w:val="00717FBD"/>
    <w:rPr>
      <w:color w:val="0563C1" w:themeColor="hyperlink"/>
      <w:u w:val="single"/>
    </w:rPr>
  </w:style>
  <w:style w:type="character" w:customStyle="1" w:styleId="Mencinsinresolver1">
    <w:name w:val="Mención sin resolver1"/>
    <w:basedOn w:val="Fuentedeprrafopredeter"/>
    <w:uiPriority w:val="99"/>
    <w:semiHidden/>
    <w:unhideWhenUsed/>
    <w:rsid w:val="00717FBD"/>
    <w:rPr>
      <w:color w:val="605E5C"/>
      <w:shd w:val="clear" w:color="auto" w:fill="E1DFDD"/>
    </w:rPr>
  </w:style>
  <w:style w:type="paragraph" w:styleId="Textonotapie">
    <w:name w:val="footnote text"/>
    <w:basedOn w:val="Normal"/>
    <w:link w:val="TextonotapieCar"/>
    <w:uiPriority w:val="99"/>
    <w:semiHidden/>
    <w:unhideWhenUsed/>
    <w:rsid w:val="007A7B95"/>
    <w:rPr>
      <w:rFonts w:ascii="Calibri" w:eastAsia="Calibri" w:hAnsi="Calibri" w:cs="Calibri"/>
      <w:sz w:val="20"/>
      <w:szCs w:val="20"/>
    </w:rPr>
  </w:style>
  <w:style w:type="character" w:customStyle="1" w:styleId="TextonotapieCar">
    <w:name w:val="Texto nota pie Car"/>
    <w:basedOn w:val="Fuentedeprrafopredeter"/>
    <w:link w:val="Textonotapie"/>
    <w:uiPriority w:val="99"/>
    <w:semiHidden/>
    <w:rsid w:val="007A7B95"/>
    <w:rPr>
      <w:sz w:val="20"/>
      <w:szCs w:val="20"/>
    </w:rPr>
  </w:style>
  <w:style w:type="character" w:styleId="Refdenotaalpie">
    <w:name w:val="footnote reference"/>
    <w:basedOn w:val="Fuentedeprrafopredeter"/>
    <w:uiPriority w:val="99"/>
    <w:semiHidden/>
    <w:unhideWhenUsed/>
    <w:rsid w:val="007A7B95"/>
    <w:rPr>
      <w:vertAlign w:val="superscript"/>
    </w:rPr>
  </w:style>
  <w:style w:type="character" w:styleId="nfasis">
    <w:name w:val="Emphasis"/>
    <w:basedOn w:val="Fuentedeprrafopredeter"/>
    <w:uiPriority w:val="20"/>
    <w:qFormat/>
    <w:rsid w:val="00ED4035"/>
    <w:rPr>
      <w:i/>
      <w:iCs/>
    </w:r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rteconstitucional.gov.co" TargetMode="External"/><Relationship Id="rId18" Type="http://schemas.openxmlformats.org/officeDocument/2006/relationships/hyperlink" Target="https://www.funcionpublica.gov.co/eva/gestornormativo/norma.php?i=22279" TargetMode="External"/><Relationship Id="rId3" Type="http://schemas.openxmlformats.org/officeDocument/2006/relationships/styles" Target="styles.xml"/><Relationship Id="rId21" Type="http://schemas.openxmlformats.org/officeDocument/2006/relationships/hyperlink" Target="https://www.gob.mx/insabi/es/articulos/28-de-febrero-dia-mundial-de-las-enfermedades-raras-295408?idiom=es" TargetMode="External"/><Relationship Id="rId7" Type="http://schemas.openxmlformats.org/officeDocument/2006/relationships/endnotes" Target="endnotes.xml"/><Relationship Id="rId12" Type="http://schemas.openxmlformats.org/officeDocument/2006/relationships/hyperlink" Target="https://www.corteconstitucional.gov.co" TargetMode="External"/><Relationship Id="rId17" Type="http://schemas.openxmlformats.org/officeDocument/2006/relationships/hyperlink" Target="https://www.secretariasenado.gov.c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oas.org/es/cidh/mandato_basico/derechos.asp" TargetMode="External"/><Relationship Id="rId20" Type="http://schemas.openxmlformats.org/officeDocument/2006/relationships/hyperlink" Target="https://www.fecoer.org/avances-de-la-mesa-tecnica-distrital-de-enfermedades-raras-en-politicas-publicas-para-estas-enfermedad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alth.ec.europa.eu/rare-diseases-and-european-reference-networks/rare-diseases_e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lcaldiabogota.gov.co" TargetMode="External"/><Relationship Id="rId23" Type="http://schemas.openxmlformats.org/officeDocument/2006/relationships/header" Target="header1.xml"/><Relationship Id="rId10" Type="http://schemas.openxmlformats.org/officeDocument/2006/relationships/hyperlink" Target="https://www.cda-amc.ca/drugs-rare-diseases-rare-disease-based-registries" TargetMode="External"/><Relationship Id="rId19" Type="http://schemas.openxmlformats.org/officeDocument/2006/relationships/hyperlink" Target="https://www.fda.gov/patients/rare-diseases-fda" TargetMode="External"/><Relationship Id="rId4" Type="http://schemas.openxmlformats.org/officeDocument/2006/relationships/settings" Target="settings.xml"/><Relationship Id="rId9" Type="http://schemas.openxmlformats.org/officeDocument/2006/relationships/hyperlink" Target="https://www.fda.gov/industry/developing-products-rare-diseases-conditions/orphan-products-grants-program" TargetMode="External"/><Relationship Id="rId14" Type="http://schemas.openxmlformats.org/officeDocument/2006/relationships/hyperlink" Target="https://www.corteconstitucional.gov.co" TargetMode="External"/><Relationship Id="rId22" Type="http://schemas.openxmlformats.org/officeDocument/2006/relationships/hyperlink" Target="https://www.ohchr.org/es/instruments-mechanisms/instruments/convention-rights-child"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cda-amc.ca/drugs-rare-diseases-rare-disease-based-registries" TargetMode="External"/><Relationship Id="rId1" Type="http://schemas.openxmlformats.org/officeDocument/2006/relationships/hyperlink" Target="https://www.fda.gov/patients/rare-diseases-fd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Mw/OXCjT+0CYVRDd9yPIGU2LCQ==">CgMxLjAyCWguMzBqMHpsbDINaC5oZ3FmbWp5b2x6bTIOaC5wYThmNml2ZGV1ZXI4AHIhMU9SNVo4VkxXNVJRT3h1RVhtU1BHbFp3ei1zQmw4a2Zm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12993</Words>
  <Characters>71466</Characters>
  <Application>Microsoft Office Word</Application>
  <DocSecurity>0</DocSecurity>
  <Lines>595</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SOFIA DIAZ</dc:creator>
  <cp:lastModifiedBy>ANA YOLANDA DURAN RODRIGUEZ</cp:lastModifiedBy>
  <cp:revision>3</cp:revision>
  <dcterms:created xsi:type="dcterms:W3CDTF">2025-05-09T16:14:00Z</dcterms:created>
  <dcterms:modified xsi:type="dcterms:W3CDTF">2025-05-09T16:25:00Z</dcterms:modified>
</cp:coreProperties>
</file>